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6E0575">
      <w:pPr>
        <w:tabs>
          <w:tab w:val="left" w:pos="5812"/>
        </w:tabs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417005">
        <w:rPr>
          <w:szCs w:val="24"/>
        </w:rPr>
        <w:t>9</w:t>
      </w:r>
      <w:r w:rsidR="00FD2D66">
        <w:rPr>
          <w:color w:val="FF0000"/>
          <w:szCs w:val="24"/>
        </w:rPr>
        <w:t xml:space="preserve"> </w:t>
      </w:r>
      <w:r w:rsidRPr="006E0575">
        <w:rPr>
          <w:szCs w:val="24"/>
        </w:rPr>
        <w:t>zur GRDrs</w:t>
      </w:r>
      <w:r w:rsidR="00FD2D66">
        <w:rPr>
          <w:szCs w:val="24"/>
        </w:rPr>
        <w:t>.</w:t>
      </w:r>
      <w:r w:rsidRPr="006E0575">
        <w:rPr>
          <w:szCs w:val="24"/>
        </w:rPr>
        <w:t xml:space="preserve"> </w:t>
      </w:r>
      <w:r w:rsidR="00B95940">
        <w:rPr>
          <w:szCs w:val="24"/>
        </w:rPr>
        <w:t>817</w:t>
      </w:r>
      <w:r w:rsidRPr="006E0575">
        <w:rPr>
          <w:szCs w:val="24"/>
        </w:rPr>
        <w:t>/20</w:t>
      </w:r>
      <w:r w:rsidR="002E442C">
        <w:rPr>
          <w:szCs w:val="24"/>
        </w:rPr>
        <w:t>1</w:t>
      </w:r>
      <w:r w:rsidR="005B4AAA">
        <w:rPr>
          <w:szCs w:val="24"/>
        </w:rPr>
        <w:t>6</w:t>
      </w:r>
    </w:p>
    <w:p w:rsidR="003D7B0B" w:rsidRPr="006E0575" w:rsidRDefault="003D7B0B" w:rsidP="006E0575"/>
    <w:p w:rsidR="003D7B0B" w:rsidRPr="006E0575" w:rsidRDefault="003D7B0B" w:rsidP="006E0575"/>
    <w:p w:rsidR="003D7B0B" w:rsidRDefault="006A15B9" w:rsidP="00A34898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Wegfall</w:t>
      </w:r>
      <w:r w:rsidR="00A34898">
        <w:rPr>
          <w:b/>
          <w:sz w:val="36"/>
          <w:u w:val="single"/>
        </w:rPr>
        <w:t xml:space="preserve"> </w:t>
      </w:r>
      <w:r w:rsidR="00325C7F">
        <w:rPr>
          <w:b/>
          <w:sz w:val="36"/>
          <w:u w:val="single"/>
        </w:rPr>
        <w:t>zweier</w:t>
      </w:r>
      <w:r w:rsidR="00A34898">
        <w:rPr>
          <w:b/>
          <w:sz w:val="36"/>
          <w:u w:val="single"/>
        </w:rPr>
        <w:t xml:space="preserve"> Stellenvermerk</w:t>
      </w:r>
      <w:r w:rsidR="00325C7F">
        <w:rPr>
          <w:b/>
          <w:sz w:val="36"/>
          <w:u w:val="single"/>
        </w:rPr>
        <w:t>e</w:t>
      </w:r>
      <w:r w:rsidR="003D7B0B">
        <w:rPr>
          <w:b/>
          <w:sz w:val="36"/>
          <w:u w:val="single"/>
        </w:rPr>
        <w:t xml:space="preserve"> </w:t>
      </w:r>
      <w:r w:rsidR="00A34898">
        <w:rPr>
          <w:b/>
          <w:sz w:val="36"/>
          <w:u w:val="single"/>
        </w:rPr>
        <w:br/>
      </w:r>
      <w:r w:rsidR="008279E8">
        <w:rPr>
          <w:b/>
          <w:sz w:val="36"/>
          <w:u w:val="single"/>
        </w:rPr>
        <w:t>im Vorgriff auf den Stellenplan 2018</w:t>
      </w:r>
    </w:p>
    <w:p w:rsidR="003D7B0B" w:rsidRDefault="003D7B0B" w:rsidP="006E0575"/>
    <w:p w:rsidR="003D7B0B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2E442C" w:rsidRPr="006E0575" w:rsidTr="002E442C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2E442C" w:rsidRPr="006E0575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 w:rsidR="0018157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2E442C" w:rsidRPr="006E0575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2E442C" w:rsidRPr="006E0575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wert</w:t>
            </w:r>
            <w:r w:rsidRPr="006E0575">
              <w:rPr>
                <w:sz w:val="16"/>
                <w:szCs w:val="16"/>
              </w:rPr>
              <w:br/>
              <w:t>Haushalt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2E442C" w:rsidRPr="006E0575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2E442C" w:rsidRPr="006E0575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2E442C" w:rsidRPr="00723653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723653">
              <w:rPr>
                <w:sz w:val="16"/>
                <w:szCs w:val="16"/>
              </w:rPr>
              <w:t>Stellen-</w:t>
            </w:r>
            <w:r w:rsidRPr="00723653">
              <w:rPr>
                <w:sz w:val="16"/>
                <w:szCs w:val="16"/>
              </w:rPr>
              <w:br/>
            </w:r>
            <w:proofErr w:type="spellStart"/>
            <w:r w:rsidRPr="00723653">
              <w:rPr>
                <w:sz w:val="16"/>
                <w:szCs w:val="16"/>
              </w:rPr>
              <w:t>vermerk</w:t>
            </w:r>
            <w:proofErr w:type="spellEnd"/>
            <w:r w:rsidRPr="00723653">
              <w:rPr>
                <w:sz w:val="16"/>
                <w:szCs w:val="16"/>
              </w:rPr>
              <w:br/>
              <w:t>al</w:t>
            </w:r>
            <w:r w:rsidRPr="00723653">
              <w:rPr>
                <w:rFonts w:cs="Arial"/>
                <w:spacing w:val="10"/>
                <w:sz w:val="16"/>
                <w:szCs w:val="16"/>
              </w:rPr>
              <w:t>t</w:t>
            </w:r>
            <w:r w:rsidR="00723653" w:rsidRPr="00723653">
              <w:rPr>
                <w:sz w:val="16"/>
                <w:szCs w:val="16"/>
              </w:rPr>
              <w:t>/</w:t>
            </w:r>
            <w:r w:rsidRPr="00723653">
              <w:rPr>
                <w:b/>
                <w:sz w:val="16"/>
                <w:szCs w:val="16"/>
              </w:rPr>
              <w:t>neu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2E442C" w:rsidRPr="006E0575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</w:t>
            </w:r>
            <w:r>
              <w:rPr>
                <w:sz w:val="16"/>
                <w:szCs w:val="16"/>
              </w:rPr>
              <w:t>tl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2E442C" w:rsidRPr="006E0575" w:rsidTr="002E442C">
        <w:tc>
          <w:tcPr>
            <w:tcW w:w="1814" w:type="dxa"/>
          </w:tcPr>
          <w:p w:rsidR="002E442C" w:rsidRDefault="002E442C" w:rsidP="002812E4">
            <w:pPr>
              <w:rPr>
                <w:sz w:val="20"/>
              </w:rPr>
            </w:pPr>
          </w:p>
          <w:p w:rsidR="00B95940" w:rsidRDefault="00B95940" w:rsidP="00B95940">
            <w:pPr>
              <w:rPr>
                <w:sz w:val="20"/>
              </w:rPr>
            </w:pPr>
            <w:r>
              <w:rPr>
                <w:sz w:val="20"/>
              </w:rPr>
              <w:t xml:space="preserve">29-2 </w:t>
            </w:r>
          </w:p>
          <w:p w:rsidR="00B95940" w:rsidRDefault="00B95940" w:rsidP="00B95940">
            <w:pPr>
              <w:rPr>
                <w:sz w:val="20"/>
              </w:rPr>
            </w:pPr>
          </w:p>
          <w:p w:rsidR="00B95940" w:rsidRDefault="00B95940" w:rsidP="00B95940">
            <w:pPr>
              <w:rPr>
                <w:sz w:val="20"/>
              </w:rPr>
            </w:pPr>
            <w:r>
              <w:rPr>
                <w:sz w:val="20"/>
              </w:rPr>
              <w:t>290 0200 275</w:t>
            </w:r>
          </w:p>
          <w:p w:rsidR="00B95940" w:rsidRDefault="008279E8" w:rsidP="00B95940">
            <w:pPr>
              <w:rPr>
                <w:sz w:val="20"/>
              </w:rPr>
            </w:pPr>
            <w:r>
              <w:rPr>
                <w:sz w:val="20"/>
              </w:rPr>
              <w:t>290 0200 2</w:t>
            </w:r>
            <w:r w:rsidR="00B95940">
              <w:rPr>
                <w:sz w:val="20"/>
              </w:rPr>
              <w:t>80</w:t>
            </w:r>
          </w:p>
          <w:p w:rsidR="00B95940" w:rsidRDefault="00B95940" w:rsidP="00B95940">
            <w:pPr>
              <w:rPr>
                <w:sz w:val="20"/>
              </w:rPr>
            </w:pPr>
          </w:p>
          <w:p w:rsidR="002E442C" w:rsidRPr="006E0575" w:rsidRDefault="00B95940" w:rsidP="00B95940">
            <w:pPr>
              <w:rPr>
                <w:sz w:val="20"/>
              </w:rPr>
            </w:pPr>
            <w:r>
              <w:rPr>
                <w:sz w:val="20"/>
              </w:rPr>
              <w:t>2910102</w:t>
            </w:r>
            <w:r w:rsidR="00B76A1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2E442C" w:rsidRDefault="002E442C" w:rsidP="002812E4">
            <w:pPr>
              <w:rPr>
                <w:sz w:val="20"/>
              </w:rPr>
            </w:pPr>
          </w:p>
          <w:p w:rsidR="002E442C" w:rsidRPr="006E0575" w:rsidRDefault="00D80D8A" w:rsidP="002812E4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2E442C" w:rsidRDefault="002E442C" w:rsidP="003B4312">
            <w:pPr>
              <w:jc w:val="center"/>
              <w:rPr>
                <w:sz w:val="20"/>
              </w:rPr>
            </w:pPr>
          </w:p>
          <w:p w:rsidR="002E442C" w:rsidRPr="006E0575" w:rsidRDefault="00D80D8A" w:rsidP="005B4AA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441E43">
              <w:rPr>
                <w:sz w:val="20"/>
              </w:rPr>
              <w:t>8</w:t>
            </w:r>
          </w:p>
        </w:tc>
        <w:tc>
          <w:tcPr>
            <w:tcW w:w="1928" w:type="dxa"/>
          </w:tcPr>
          <w:p w:rsidR="002E442C" w:rsidRDefault="002E442C" w:rsidP="002812E4">
            <w:pPr>
              <w:rPr>
                <w:sz w:val="20"/>
              </w:rPr>
            </w:pPr>
          </w:p>
          <w:p w:rsidR="002E442C" w:rsidRPr="006E0575" w:rsidRDefault="00AA28C7" w:rsidP="00C417F4">
            <w:pPr>
              <w:rPr>
                <w:sz w:val="20"/>
              </w:rPr>
            </w:pPr>
            <w:r>
              <w:rPr>
                <w:sz w:val="20"/>
              </w:rPr>
              <w:t>Sachbearbeiter/in</w:t>
            </w:r>
            <w:r w:rsidR="0004354A">
              <w:rPr>
                <w:sz w:val="20"/>
              </w:rPr>
              <w:t xml:space="preserve"> B</w:t>
            </w:r>
            <w:r w:rsidR="00C417F4">
              <w:rPr>
                <w:sz w:val="20"/>
              </w:rPr>
              <w:t>ildung und Tei</w:t>
            </w:r>
            <w:r w:rsidR="00C417F4">
              <w:rPr>
                <w:sz w:val="20"/>
              </w:rPr>
              <w:t>l</w:t>
            </w:r>
            <w:r w:rsidR="00C417F4">
              <w:rPr>
                <w:sz w:val="20"/>
              </w:rPr>
              <w:t>habe</w:t>
            </w:r>
            <w:r>
              <w:rPr>
                <w:sz w:val="20"/>
              </w:rPr>
              <w:t xml:space="preserve"> </w:t>
            </w:r>
            <w:r w:rsidR="00C417F4">
              <w:rPr>
                <w:sz w:val="20"/>
              </w:rPr>
              <w:t>(BuT)</w:t>
            </w:r>
          </w:p>
        </w:tc>
        <w:tc>
          <w:tcPr>
            <w:tcW w:w="737" w:type="dxa"/>
            <w:shd w:val="pct12" w:color="auto" w:fill="FFFFFF"/>
          </w:tcPr>
          <w:p w:rsidR="002E442C" w:rsidRDefault="002E442C" w:rsidP="003B4312">
            <w:pPr>
              <w:jc w:val="center"/>
              <w:rPr>
                <w:sz w:val="20"/>
              </w:rPr>
            </w:pPr>
          </w:p>
          <w:p w:rsidR="002E442C" w:rsidRPr="006E0575" w:rsidRDefault="0004354A" w:rsidP="003B43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95940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2E442C" w:rsidRPr="00441E43" w:rsidRDefault="002E442C" w:rsidP="003B4312">
            <w:pPr>
              <w:jc w:val="center"/>
              <w:rPr>
                <w:sz w:val="16"/>
                <w:szCs w:val="16"/>
              </w:rPr>
            </w:pPr>
          </w:p>
          <w:p w:rsidR="00D80D8A" w:rsidRPr="00AC7243" w:rsidRDefault="00D80D8A" w:rsidP="003B4312">
            <w:pPr>
              <w:jc w:val="center"/>
              <w:rPr>
                <w:b/>
                <w:sz w:val="16"/>
                <w:szCs w:val="16"/>
              </w:rPr>
            </w:pPr>
            <w:r w:rsidRPr="00AC7243">
              <w:rPr>
                <w:b/>
                <w:sz w:val="16"/>
                <w:szCs w:val="16"/>
              </w:rPr>
              <w:t>alt</w:t>
            </w:r>
          </w:p>
          <w:p w:rsidR="002E442C" w:rsidRDefault="005B4AAA" w:rsidP="003B43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 01/2017</w:t>
            </w:r>
            <w:r w:rsidR="00AC7243">
              <w:rPr>
                <w:sz w:val="16"/>
                <w:szCs w:val="16"/>
              </w:rPr>
              <w:t xml:space="preserve"> </w:t>
            </w:r>
          </w:p>
          <w:p w:rsidR="00AC7243" w:rsidRDefault="00441E43" w:rsidP="005B4AAA">
            <w:pPr>
              <w:jc w:val="center"/>
              <w:rPr>
                <w:sz w:val="16"/>
                <w:szCs w:val="16"/>
              </w:rPr>
            </w:pPr>
            <w:r w:rsidRPr="00AC7243">
              <w:rPr>
                <w:b/>
                <w:sz w:val="16"/>
                <w:szCs w:val="16"/>
              </w:rPr>
              <w:t>neu:</w:t>
            </w:r>
            <w:r w:rsidRPr="0063686D">
              <w:rPr>
                <w:sz w:val="16"/>
                <w:szCs w:val="16"/>
              </w:rPr>
              <w:t xml:space="preserve"> </w:t>
            </w:r>
          </w:p>
          <w:p w:rsidR="00D80D8A" w:rsidRPr="0063686D" w:rsidRDefault="00441E43" w:rsidP="005B4AAA">
            <w:pPr>
              <w:jc w:val="center"/>
              <w:rPr>
                <w:sz w:val="16"/>
                <w:szCs w:val="16"/>
              </w:rPr>
            </w:pPr>
            <w:r w:rsidRPr="0063686D">
              <w:rPr>
                <w:sz w:val="16"/>
                <w:szCs w:val="16"/>
              </w:rPr>
              <w:t>Streichung des KW-Vermerks</w:t>
            </w:r>
          </w:p>
        </w:tc>
        <w:tc>
          <w:tcPr>
            <w:tcW w:w="1417" w:type="dxa"/>
          </w:tcPr>
          <w:p w:rsidR="002E442C" w:rsidRDefault="002E442C" w:rsidP="003B4312">
            <w:pPr>
              <w:jc w:val="center"/>
              <w:rPr>
                <w:sz w:val="20"/>
              </w:rPr>
            </w:pPr>
          </w:p>
          <w:p w:rsidR="002E442C" w:rsidRPr="00AC7243" w:rsidRDefault="00AC7243" w:rsidP="003B4312">
            <w:pPr>
              <w:jc w:val="center"/>
              <w:rPr>
                <w:sz w:val="20"/>
              </w:rPr>
            </w:pPr>
            <w:r w:rsidRPr="00AC7243">
              <w:rPr>
                <w:sz w:val="20"/>
              </w:rPr>
              <w:t>102.600*)</w:t>
            </w:r>
          </w:p>
          <w:p w:rsidR="008279E8" w:rsidRPr="006E0575" w:rsidRDefault="008279E8" w:rsidP="003B4312">
            <w:pPr>
              <w:jc w:val="center"/>
              <w:rPr>
                <w:sz w:val="20"/>
              </w:rPr>
            </w:pPr>
          </w:p>
        </w:tc>
      </w:tr>
    </w:tbl>
    <w:p w:rsidR="005B04A7" w:rsidRDefault="005B04A7" w:rsidP="005B04A7">
      <w:pPr>
        <w:pStyle w:val="berschrift1"/>
        <w:spacing w:before="120"/>
        <w:ind w:left="0" w:hanging="142"/>
        <w:rPr>
          <w:rFonts w:ascii="Helv" w:hAnsi="Helv" w:cs="Helv"/>
          <w:color w:val="000000"/>
          <w:sz w:val="16"/>
          <w:szCs w:val="16"/>
        </w:rPr>
      </w:pPr>
      <w:r w:rsidRPr="00DB2056">
        <w:rPr>
          <w:rFonts w:ascii="Helv" w:hAnsi="Helv" w:cs="Helv"/>
          <w:b w:val="0"/>
          <w:color w:val="000000"/>
          <w:sz w:val="16"/>
          <w:szCs w:val="16"/>
          <w:u w:val="none"/>
        </w:rPr>
        <w:t xml:space="preserve">*) </w:t>
      </w:r>
      <w:r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Gemäß Kommunalträger-Abrechnungsverwaltungsvorschrift (</w:t>
      </w:r>
      <w:proofErr w:type="spellStart"/>
      <w:r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KoA</w:t>
      </w:r>
      <w:proofErr w:type="spellEnd"/>
      <w:r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-VV) erfolgt die Abrechnung der Personalkosten operativer Stellen mit dem Bund spitz, für die Personalneben-, Sach- und Gemeinkosten werden Pauschalen zugrunde gelegt. Der Anteil des Bundes an den Kosten beträgt 84,8 Prozent, der kommunale Finanzierungsanteil (KFA) beträgt 15,2 Prozent. Inklusive aller Pa</w:t>
      </w:r>
      <w:r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u</w:t>
      </w:r>
      <w:r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schalen übersteigt die Erstattung des Bundes den kostenwirksamen Aufwand, der bei der LHS für die operative(n) Stelle(n) en</w:t>
      </w:r>
      <w:r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t</w:t>
      </w:r>
      <w:r w:rsidRPr="002C7B5F">
        <w:rPr>
          <w:rFonts w:ascii="Helv" w:hAnsi="Helv" w:cs="Helv"/>
          <w:b w:val="0"/>
          <w:color w:val="000000"/>
          <w:sz w:val="16"/>
          <w:szCs w:val="16"/>
          <w:u w:val="none"/>
        </w:rPr>
        <w:t>steht.</w:t>
      </w:r>
    </w:p>
    <w:p w:rsidR="005B04A7" w:rsidRDefault="005B04A7" w:rsidP="005B04A7">
      <w:pPr>
        <w:autoSpaceDE w:val="0"/>
        <w:autoSpaceDN w:val="0"/>
        <w:adjustRightInd w:val="0"/>
        <w:rPr>
          <w:rFonts w:ascii="Helv" w:hAnsi="Helv" w:cs="Helv"/>
          <w:color w:val="000000"/>
          <w:sz w:val="16"/>
          <w:szCs w:val="16"/>
        </w:rPr>
      </w:pPr>
      <w:r w:rsidRPr="00786066">
        <w:rPr>
          <w:rFonts w:ascii="Helv" w:hAnsi="Helv" w:cs="Helv"/>
          <w:color w:val="000000"/>
          <w:sz w:val="16"/>
          <w:szCs w:val="16"/>
        </w:rPr>
        <w:t xml:space="preserve">Für die Stellenanteile, die der Bearbeitung der </w:t>
      </w:r>
      <w:proofErr w:type="spellStart"/>
      <w:r w:rsidRPr="00786066">
        <w:rPr>
          <w:rFonts w:ascii="Helv" w:hAnsi="Helv" w:cs="Helv"/>
          <w:color w:val="000000"/>
          <w:sz w:val="16"/>
          <w:szCs w:val="16"/>
        </w:rPr>
        <w:t>KiZ</w:t>
      </w:r>
      <w:proofErr w:type="spellEnd"/>
      <w:r w:rsidRPr="00786066">
        <w:rPr>
          <w:rFonts w:ascii="Helv" w:hAnsi="Helv" w:cs="Helv"/>
          <w:color w:val="000000"/>
          <w:sz w:val="16"/>
          <w:szCs w:val="16"/>
        </w:rPr>
        <w:t xml:space="preserve">- und </w:t>
      </w:r>
      <w:proofErr w:type="spellStart"/>
      <w:r w:rsidRPr="00786066">
        <w:rPr>
          <w:rFonts w:ascii="Helv" w:hAnsi="Helv" w:cs="Helv"/>
          <w:color w:val="000000"/>
          <w:sz w:val="16"/>
          <w:szCs w:val="16"/>
        </w:rPr>
        <w:t>WoG</w:t>
      </w:r>
      <w:proofErr w:type="spellEnd"/>
      <w:r w:rsidRPr="00786066">
        <w:rPr>
          <w:rFonts w:ascii="Helv" w:hAnsi="Helv" w:cs="Helv"/>
          <w:color w:val="000000"/>
          <w:sz w:val="16"/>
          <w:szCs w:val="16"/>
        </w:rPr>
        <w:t xml:space="preserve">-Fälle zugerechnet werden (in Abhängigkeit der Antragszahl derzeit </w:t>
      </w:r>
      <w:r>
        <w:rPr>
          <w:rFonts w:ascii="Helv" w:hAnsi="Helv" w:cs="Helv"/>
          <w:color w:val="000000"/>
          <w:sz w:val="16"/>
          <w:szCs w:val="16"/>
        </w:rPr>
        <w:t xml:space="preserve"> </w:t>
      </w:r>
      <w:r w:rsidRPr="00786066">
        <w:rPr>
          <w:rFonts w:ascii="Helv" w:hAnsi="Helv" w:cs="Helv"/>
          <w:color w:val="000000"/>
          <w:sz w:val="16"/>
          <w:szCs w:val="16"/>
        </w:rPr>
        <w:t xml:space="preserve">14,15 Prozent), erfolgt eine Erstattung der Kosten im Rahmen der Bundesbeteiligung an den </w:t>
      </w:r>
      <w:proofErr w:type="spellStart"/>
      <w:r w:rsidRPr="00786066">
        <w:rPr>
          <w:rFonts w:ascii="Helv" w:hAnsi="Helv" w:cs="Helv"/>
          <w:color w:val="000000"/>
          <w:sz w:val="16"/>
          <w:szCs w:val="16"/>
        </w:rPr>
        <w:t>KdU</w:t>
      </w:r>
      <w:proofErr w:type="spellEnd"/>
      <w:r w:rsidRPr="00786066">
        <w:rPr>
          <w:rFonts w:ascii="Helv" w:hAnsi="Helv" w:cs="Helv"/>
          <w:color w:val="000000"/>
          <w:sz w:val="16"/>
          <w:szCs w:val="16"/>
        </w:rPr>
        <w:t xml:space="preserve"> (§ 46 Abs. 5 - 8 SGB II). Mit Einführung des </w:t>
      </w:r>
      <w:proofErr w:type="spellStart"/>
      <w:r w:rsidRPr="00786066">
        <w:rPr>
          <w:rFonts w:ascii="Helv" w:hAnsi="Helv" w:cs="Helv"/>
          <w:color w:val="000000"/>
          <w:sz w:val="16"/>
          <w:szCs w:val="16"/>
        </w:rPr>
        <w:t>BuT</w:t>
      </w:r>
      <w:proofErr w:type="spellEnd"/>
      <w:r w:rsidRPr="00786066">
        <w:rPr>
          <w:rFonts w:ascii="Helv" w:hAnsi="Helv" w:cs="Helv"/>
          <w:color w:val="000000"/>
          <w:sz w:val="16"/>
          <w:szCs w:val="16"/>
        </w:rPr>
        <w:t>-Pakets wurde diese um 0,2 Prozentpunkte für die Verwaltungskosten in diesem Bereich erhöht.</w:t>
      </w:r>
    </w:p>
    <w:p w:rsidR="005B04A7" w:rsidRDefault="005B04A7" w:rsidP="005B04A7">
      <w:pPr>
        <w:autoSpaceDE w:val="0"/>
        <w:autoSpaceDN w:val="0"/>
        <w:adjustRightInd w:val="0"/>
        <w:rPr>
          <w:rFonts w:ascii="Helv" w:hAnsi="Helv" w:cs="Helv"/>
          <w:color w:val="000000"/>
          <w:sz w:val="16"/>
          <w:szCs w:val="16"/>
        </w:rPr>
      </w:pPr>
    </w:p>
    <w:p w:rsidR="00441E43" w:rsidRDefault="00441E43" w:rsidP="00694161">
      <w:pPr>
        <w:rPr>
          <w:b/>
          <w:u w:val="single"/>
        </w:rPr>
      </w:pPr>
    </w:p>
    <w:p w:rsidR="003D7B0B" w:rsidRPr="0063686D" w:rsidRDefault="00694161" w:rsidP="00694161">
      <w:pPr>
        <w:rPr>
          <w:b/>
          <w:sz w:val="22"/>
          <w:szCs w:val="22"/>
          <w:u w:val="single"/>
        </w:rPr>
      </w:pPr>
      <w:r w:rsidRPr="0063686D">
        <w:rPr>
          <w:b/>
          <w:sz w:val="22"/>
          <w:szCs w:val="22"/>
          <w:u w:val="single"/>
        </w:rPr>
        <w:t>Be</w:t>
      </w:r>
      <w:r w:rsidRPr="0063686D">
        <w:rPr>
          <w:b/>
          <w:sz w:val="22"/>
          <w:szCs w:val="22"/>
        </w:rPr>
        <w:t>g</w:t>
      </w:r>
      <w:r w:rsidRPr="0063686D">
        <w:rPr>
          <w:b/>
          <w:sz w:val="22"/>
          <w:szCs w:val="22"/>
          <w:u w:val="single"/>
        </w:rPr>
        <w:t>ründun</w:t>
      </w:r>
      <w:r w:rsidRPr="0063686D">
        <w:rPr>
          <w:b/>
          <w:sz w:val="22"/>
          <w:szCs w:val="22"/>
        </w:rPr>
        <w:t>g</w:t>
      </w:r>
      <w:r w:rsidRPr="0063686D">
        <w:rPr>
          <w:b/>
          <w:sz w:val="22"/>
          <w:szCs w:val="22"/>
          <w:u w:val="single"/>
        </w:rPr>
        <w:t>:</w:t>
      </w:r>
    </w:p>
    <w:p w:rsidR="003D7B0B" w:rsidRPr="0063686D" w:rsidRDefault="003D7B0B" w:rsidP="00694161">
      <w:pPr>
        <w:rPr>
          <w:sz w:val="22"/>
          <w:szCs w:val="22"/>
        </w:rPr>
      </w:pPr>
    </w:p>
    <w:p w:rsidR="00325C7F" w:rsidRDefault="00B95940" w:rsidP="0004354A">
      <w:pPr>
        <w:rPr>
          <w:rFonts w:cs="Arial"/>
          <w:color w:val="000000"/>
          <w:sz w:val="22"/>
          <w:szCs w:val="22"/>
        </w:rPr>
      </w:pPr>
      <w:r w:rsidRPr="0063686D">
        <w:rPr>
          <w:sz w:val="22"/>
          <w:szCs w:val="22"/>
        </w:rPr>
        <w:t>Mit dem Geschäftsplan 2015 (</w:t>
      </w:r>
      <w:r w:rsidRPr="0063686D">
        <w:rPr>
          <w:rFonts w:cs="Arial"/>
          <w:color w:val="000000"/>
          <w:sz w:val="22"/>
          <w:szCs w:val="22"/>
        </w:rPr>
        <w:t xml:space="preserve">GRDrs. 884/2014, Anlage 4) </w:t>
      </w:r>
      <w:r w:rsidR="0004354A" w:rsidRPr="0063686D">
        <w:rPr>
          <w:rFonts w:cs="Arial"/>
          <w:sz w:val="22"/>
          <w:szCs w:val="22"/>
        </w:rPr>
        <w:t xml:space="preserve">wurden </w:t>
      </w:r>
      <w:r w:rsidR="00ED1D9B" w:rsidRPr="0063686D">
        <w:rPr>
          <w:rFonts w:cs="Arial"/>
          <w:sz w:val="22"/>
          <w:szCs w:val="22"/>
        </w:rPr>
        <w:t>im Vorgriff auf den Stelle</w:t>
      </w:r>
      <w:r w:rsidR="00ED1D9B" w:rsidRPr="0063686D">
        <w:rPr>
          <w:rFonts w:cs="Arial"/>
          <w:sz w:val="22"/>
          <w:szCs w:val="22"/>
        </w:rPr>
        <w:t>n</w:t>
      </w:r>
      <w:r w:rsidR="00ED1D9B" w:rsidRPr="0063686D">
        <w:rPr>
          <w:rFonts w:cs="Arial"/>
          <w:sz w:val="22"/>
          <w:szCs w:val="22"/>
        </w:rPr>
        <w:t xml:space="preserve">plan 2016 </w:t>
      </w:r>
      <w:r w:rsidR="00BF7DB6" w:rsidRPr="0063686D">
        <w:rPr>
          <w:rFonts w:cs="Arial"/>
          <w:sz w:val="22"/>
          <w:szCs w:val="22"/>
        </w:rPr>
        <w:t>vier zusätzliche</w:t>
      </w:r>
      <w:r w:rsidR="0004354A" w:rsidRPr="0063686D">
        <w:rPr>
          <w:rFonts w:cs="Arial"/>
          <w:sz w:val="22"/>
          <w:szCs w:val="22"/>
        </w:rPr>
        <w:t xml:space="preserve"> </w:t>
      </w:r>
      <w:r w:rsidR="00441E43" w:rsidRPr="0063686D">
        <w:rPr>
          <w:rFonts w:cs="Arial"/>
          <w:sz w:val="22"/>
          <w:szCs w:val="22"/>
        </w:rPr>
        <w:t>S</w:t>
      </w:r>
      <w:r w:rsidR="0004354A" w:rsidRPr="0063686D">
        <w:rPr>
          <w:rFonts w:cs="Arial"/>
          <w:sz w:val="22"/>
          <w:szCs w:val="22"/>
        </w:rPr>
        <w:t>tellen (EG 8) für die Abrechnung von Bildungs- und Teilhabelei</w:t>
      </w:r>
      <w:r w:rsidR="0004354A" w:rsidRPr="0063686D">
        <w:rPr>
          <w:rFonts w:cs="Arial"/>
          <w:sz w:val="22"/>
          <w:szCs w:val="22"/>
        </w:rPr>
        <w:t>s</w:t>
      </w:r>
      <w:r w:rsidR="0004354A" w:rsidRPr="0063686D">
        <w:rPr>
          <w:rFonts w:cs="Arial"/>
          <w:sz w:val="22"/>
          <w:szCs w:val="22"/>
        </w:rPr>
        <w:t>tungen geschaffen, zwei davon mit KW-Vermerk</w:t>
      </w:r>
      <w:r w:rsidR="00AE1274">
        <w:rPr>
          <w:rFonts w:cs="Arial"/>
          <w:sz w:val="22"/>
          <w:szCs w:val="22"/>
        </w:rPr>
        <w:t xml:space="preserve">, um </w:t>
      </w:r>
      <w:r w:rsidR="00721A53">
        <w:rPr>
          <w:rFonts w:cs="Arial"/>
          <w:sz w:val="22"/>
          <w:szCs w:val="22"/>
        </w:rPr>
        <w:t xml:space="preserve">zu sehen, ob sich die Antragszahlen von 2013 in den Folgejahren bestätigen. </w:t>
      </w:r>
      <w:r w:rsidR="00AE1274" w:rsidRPr="0063686D">
        <w:rPr>
          <w:rFonts w:cs="Arial"/>
          <w:sz w:val="22"/>
          <w:szCs w:val="22"/>
        </w:rPr>
        <w:t xml:space="preserve">Grund </w:t>
      </w:r>
      <w:r w:rsidR="00AE1274">
        <w:rPr>
          <w:rFonts w:cs="Arial"/>
          <w:sz w:val="22"/>
          <w:szCs w:val="22"/>
        </w:rPr>
        <w:t>für die Schaffung der vier zusätzlichen Stellen war</w:t>
      </w:r>
      <w:r w:rsidR="00AE1274" w:rsidRPr="0063686D">
        <w:rPr>
          <w:rFonts w:cs="Arial"/>
          <w:sz w:val="22"/>
          <w:szCs w:val="22"/>
        </w:rPr>
        <w:t xml:space="preserve"> die Zunahme der Zahl der Anträge im Jahr 2013</w:t>
      </w:r>
      <w:r w:rsidR="00AE1274" w:rsidRPr="00AE1274">
        <w:rPr>
          <w:rFonts w:cs="Arial"/>
          <w:sz w:val="22"/>
          <w:szCs w:val="22"/>
        </w:rPr>
        <w:t xml:space="preserve"> </w:t>
      </w:r>
      <w:r w:rsidR="00AE1274" w:rsidRPr="0063686D">
        <w:rPr>
          <w:rFonts w:cs="Arial"/>
          <w:sz w:val="22"/>
          <w:szCs w:val="22"/>
        </w:rPr>
        <w:t xml:space="preserve">um </w:t>
      </w:r>
      <w:r w:rsidR="002B3233">
        <w:rPr>
          <w:rFonts w:cs="Arial"/>
          <w:sz w:val="22"/>
          <w:szCs w:val="22"/>
        </w:rPr>
        <w:t>15</w:t>
      </w:r>
      <w:r w:rsidR="00721A53">
        <w:rPr>
          <w:rFonts w:cs="Arial"/>
          <w:sz w:val="22"/>
          <w:szCs w:val="22"/>
        </w:rPr>
        <w:t xml:space="preserve">.000 - </w:t>
      </w:r>
      <w:r w:rsidR="00AE1274" w:rsidRPr="0063686D">
        <w:rPr>
          <w:rFonts w:cs="Arial"/>
          <w:sz w:val="22"/>
          <w:szCs w:val="22"/>
        </w:rPr>
        <w:t>62 %.</w:t>
      </w:r>
      <w:r w:rsidR="00AE1274">
        <w:rPr>
          <w:rFonts w:cs="Arial"/>
          <w:sz w:val="22"/>
          <w:szCs w:val="22"/>
        </w:rPr>
        <w:t xml:space="preserve"> </w:t>
      </w:r>
      <w:r w:rsidR="00721A53">
        <w:rPr>
          <w:rFonts w:cs="Arial"/>
          <w:sz w:val="22"/>
          <w:szCs w:val="22"/>
        </w:rPr>
        <w:t>D</w:t>
      </w:r>
      <w:r w:rsidR="00AE1274">
        <w:rPr>
          <w:rFonts w:cs="Arial"/>
          <w:sz w:val="22"/>
          <w:szCs w:val="22"/>
        </w:rPr>
        <w:t xml:space="preserve">ieses Antragsniveau </w:t>
      </w:r>
      <w:r w:rsidR="00721A53">
        <w:rPr>
          <w:rFonts w:cs="Arial"/>
          <w:sz w:val="22"/>
          <w:szCs w:val="22"/>
        </w:rPr>
        <w:t>hat sich mittlerweile</w:t>
      </w:r>
      <w:r w:rsidR="00AE1274">
        <w:rPr>
          <w:rFonts w:cs="Arial"/>
          <w:sz w:val="22"/>
          <w:szCs w:val="22"/>
        </w:rPr>
        <w:t xml:space="preserve"> bestätigt. </w:t>
      </w:r>
      <w:r w:rsidR="006812C3" w:rsidRPr="0063686D">
        <w:rPr>
          <w:rFonts w:cs="Arial"/>
          <w:color w:val="000000"/>
          <w:sz w:val="22"/>
          <w:szCs w:val="22"/>
        </w:rPr>
        <w:t xml:space="preserve">Die </w:t>
      </w:r>
      <w:r w:rsidR="00ED1D9B" w:rsidRPr="0063686D">
        <w:rPr>
          <w:rFonts w:cs="Arial"/>
          <w:color w:val="000000"/>
          <w:sz w:val="22"/>
          <w:szCs w:val="22"/>
        </w:rPr>
        <w:t>Zahl</w:t>
      </w:r>
      <w:r w:rsidR="006812C3" w:rsidRPr="0063686D">
        <w:rPr>
          <w:rFonts w:cs="Arial"/>
          <w:color w:val="000000"/>
          <w:sz w:val="22"/>
          <w:szCs w:val="22"/>
        </w:rPr>
        <w:t xml:space="preserve"> der Anträge ist 2014 </w:t>
      </w:r>
      <w:r w:rsidR="00721A53">
        <w:rPr>
          <w:rFonts w:cs="Arial"/>
          <w:color w:val="000000"/>
          <w:sz w:val="22"/>
          <w:szCs w:val="22"/>
        </w:rPr>
        <w:t xml:space="preserve">sogar </w:t>
      </w:r>
      <w:r w:rsidR="006812C3" w:rsidRPr="0063686D">
        <w:rPr>
          <w:rFonts w:cs="Arial"/>
          <w:color w:val="000000"/>
          <w:sz w:val="22"/>
          <w:szCs w:val="22"/>
        </w:rPr>
        <w:t>um weitere 11.000</w:t>
      </w:r>
      <w:r w:rsidR="00325C7F">
        <w:rPr>
          <w:rFonts w:cs="Arial"/>
          <w:color w:val="000000"/>
          <w:sz w:val="22"/>
          <w:szCs w:val="22"/>
        </w:rPr>
        <w:t xml:space="preserve"> und</w:t>
      </w:r>
      <w:r w:rsidR="00AE1274">
        <w:rPr>
          <w:rFonts w:cs="Arial"/>
          <w:color w:val="000000"/>
          <w:sz w:val="22"/>
          <w:szCs w:val="22"/>
        </w:rPr>
        <w:t xml:space="preserve"> 2015 um 7.000 </w:t>
      </w:r>
      <w:r w:rsidR="00325C7F">
        <w:rPr>
          <w:rFonts w:cs="Arial"/>
          <w:color w:val="000000"/>
          <w:sz w:val="22"/>
          <w:szCs w:val="22"/>
        </w:rPr>
        <w:t xml:space="preserve">gestiegen. </w:t>
      </w:r>
    </w:p>
    <w:p w:rsidR="00325C7F" w:rsidRDefault="00325C7F" w:rsidP="0004354A">
      <w:pPr>
        <w:rPr>
          <w:rFonts w:cs="Arial"/>
          <w:color w:val="000000"/>
          <w:sz w:val="22"/>
          <w:szCs w:val="22"/>
        </w:rPr>
      </w:pPr>
    </w:p>
    <w:p w:rsidR="00AE1274" w:rsidRDefault="00325C7F" w:rsidP="0004354A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Die Entwicklung der Antragszahlen</w:t>
      </w:r>
      <w:r w:rsidR="00D254B1">
        <w:rPr>
          <w:rFonts w:cs="Arial"/>
          <w:color w:val="000000"/>
          <w:sz w:val="22"/>
          <w:szCs w:val="22"/>
        </w:rPr>
        <w:t>, Antragstellenden und Mitarbeitenden im BuT-Team</w:t>
      </w:r>
      <w:r>
        <w:rPr>
          <w:rFonts w:cs="Arial"/>
          <w:color w:val="000000"/>
          <w:sz w:val="22"/>
          <w:szCs w:val="22"/>
        </w:rPr>
        <w:t xml:space="preserve"> seit 2011 inklusive der Prognose für </w:t>
      </w:r>
      <w:r w:rsidR="00AE1274">
        <w:rPr>
          <w:rFonts w:cs="Arial"/>
          <w:color w:val="000000"/>
          <w:sz w:val="22"/>
          <w:szCs w:val="22"/>
        </w:rPr>
        <w:t xml:space="preserve">2016 </w:t>
      </w:r>
      <w:r>
        <w:rPr>
          <w:rFonts w:cs="Arial"/>
          <w:color w:val="000000"/>
          <w:sz w:val="22"/>
          <w:szCs w:val="22"/>
        </w:rPr>
        <w:t>und 2017</w:t>
      </w:r>
      <w:r w:rsidR="006812C3" w:rsidRPr="0063686D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ergibt sich aus folgender Tabelle:</w:t>
      </w:r>
    </w:p>
    <w:p w:rsidR="00BF7DB6" w:rsidRDefault="00BF7DB6" w:rsidP="0004354A">
      <w:pPr>
        <w:rPr>
          <w:rFonts w:cs="Arial"/>
          <w:color w:val="FF0000"/>
          <w:sz w:val="22"/>
          <w:szCs w:val="22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817"/>
        <w:gridCol w:w="996"/>
        <w:gridCol w:w="984"/>
        <w:gridCol w:w="1280"/>
        <w:gridCol w:w="1418"/>
        <w:gridCol w:w="1276"/>
        <w:gridCol w:w="1417"/>
        <w:gridCol w:w="1383"/>
      </w:tblGrid>
      <w:tr w:rsidR="00747AD9" w:rsidTr="00AC7243">
        <w:tc>
          <w:tcPr>
            <w:tcW w:w="817" w:type="dxa"/>
          </w:tcPr>
          <w:p w:rsidR="00193881" w:rsidRPr="00AC7243" w:rsidRDefault="00193881" w:rsidP="003105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193881" w:rsidRPr="00AC7243" w:rsidRDefault="00193881" w:rsidP="003105C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>Zahl der Anträge</w:t>
            </w:r>
          </w:p>
        </w:tc>
        <w:tc>
          <w:tcPr>
            <w:tcW w:w="984" w:type="dxa"/>
          </w:tcPr>
          <w:p w:rsidR="00193881" w:rsidRPr="00AC7243" w:rsidRDefault="00193881" w:rsidP="003105C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>Antrag-</w:t>
            </w:r>
            <w:proofErr w:type="spellStart"/>
            <w:r w:rsidRPr="00AC7243">
              <w:rPr>
                <w:rFonts w:cs="Arial"/>
                <w:b/>
                <w:sz w:val="18"/>
                <w:szCs w:val="18"/>
              </w:rPr>
              <w:t>steller</w:t>
            </w:r>
            <w:proofErr w:type="spellEnd"/>
          </w:p>
        </w:tc>
        <w:tc>
          <w:tcPr>
            <w:tcW w:w="1280" w:type="dxa"/>
          </w:tcPr>
          <w:p w:rsidR="00193881" w:rsidRPr="00AC7243" w:rsidRDefault="00AC7243" w:rsidP="00AC7243">
            <w:pPr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 xml:space="preserve">   L</w:t>
            </w:r>
            <w:r w:rsidR="00193881" w:rsidRPr="00AC7243">
              <w:rPr>
                <w:rFonts w:cs="Arial"/>
                <w:b/>
                <w:sz w:val="18"/>
                <w:szCs w:val="18"/>
              </w:rPr>
              <w:t>eitung</w:t>
            </w:r>
          </w:p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EG 10</w:t>
            </w:r>
          </w:p>
        </w:tc>
        <w:tc>
          <w:tcPr>
            <w:tcW w:w="1418" w:type="dxa"/>
          </w:tcPr>
          <w:p w:rsidR="00193881" w:rsidRPr="00AC7243" w:rsidRDefault="00193881" w:rsidP="003105C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>Leitungs-</w:t>
            </w:r>
            <w:proofErr w:type="spellStart"/>
            <w:r w:rsidRPr="00AC7243">
              <w:rPr>
                <w:rFonts w:cs="Arial"/>
                <w:b/>
                <w:sz w:val="18"/>
                <w:szCs w:val="18"/>
              </w:rPr>
              <w:t>gewährer</w:t>
            </w:r>
            <w:proofErr w:type="spellEnd"/>
            <w:r w:rsidR="007968E9" w:rsidRPr="00AC7243">
              <w:rPr>
                <w:rFonts w:cs="Arial"/>
                <w:b/>
                <w:sz w:val="18"/>
                <w:szCs w:val="18"/>
              </w:rPr>
              <w:t>/-innen</w:t>
            </w:r>
          </w:p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EG 9</w:t>
            </w:r>
          </w:p>
        </w:tc>
        <w:tc>
          <w:tcPr>
            <w:tcW w:w="1276" w:type="dxa"/>
          </w:tcPr>
          <w:p w:rsidR="00193881" w:rsidRPr="00AC7243" w:rsidRDefault="00193881" w:rsidP="003105C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>Abrechner</w:t>
            </w:r>
            <w:r w:rsidR="00747AD9" w:rsidRPr="00AC7243">
              <w:rPr>
                <w:rFonts w:cs="Arial"/>
                <w:b/>
                <w:sz w:val="18"/>
                <w:szCs w:val="18"/>
              </w:rPr>
              <w:t>/-innen</w:t>
            </w:r>
          </w:p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EG 8</w:t>
            </w:r>
          </w:p>
        </w:tc>
        <w:tc>
          <w:tcPr>
            <w:tcW w:w="1417" w:type="dxa"/>
          </w:tcPr>
          <w:p w:rsidR="00193881" w:rsidRPr="00AC7243" w:rsidRDefault="00193881" w:rsidP="003105C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>Qualifizierte Information</w:t>
            </w:r>
          </w:p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EG 6</w:t>
            </w:r>
          </w:p>
        </w:tc>
        <w:tc>
          <w:tcPr>
            <w:tcW w:w="1383" w:type="dxa"/>
          </w:tcPr>
          <w:p w:rsidR="00193881" w:rsidRPr="00AC7243" w:rsidRDefault="00193881" w:rsidP="003105C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>GRDrs.</w:t>
            </w:r>
          </w:p>
        </w:tc>
      </w:tr>
      <w:tr w:rsidR="00747AD9" w:rsidTr="00AC7243">
        <w:tc>
          <w:tcPr>
            <w:tcW w:w="817" w:type="dxa"/>
          </w:tcPr>
          <w:p w:rsidR="00193881" w:rsidRPr="00AC7243" w:rsidRDefault="00193881" w:rsidP="003105C9">
            <w:pPr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>2011</w:t>
            </w:r>
          </w:p>
        </w:tc>
        <w:tc>
          <w:tcPr>
            <w:tcW w:w="996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18.296</w:t>
            </w:r>
          </w:p>
        </w:tc>
        <w:tc>
          <w:tcPr>
            <w:tcW w:w="984" w:type="dxa"/>
          </w:tcPr>
          <w:p w:rsidR="00193881" w:rsidRPr="00AC7243" w:rsidRDefault="00747AD9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11.500</w:t>
            </w:r>
          </w:p>
        </w:tc>
        <w:tc>
          <w:tcPr>
            <w:tcW w:w="1280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235/2011</w:t>
            </w:r>
          </w:p>
        </w:tc>
      </w:tr>
      <w:tr w:rsidR="00747AD9" w:rsidTr="00AC7243">
        <w:tc>
          <w:tcPr>
            <w:tcW w:w="817" w:type="dxa"/>
          </w:tcPr>
          <w:p w:rsidR="00193881" w:rsidRPr="00AC7243" w:rsidRDefault="00193881" w:rsidP="003105C9">
            <w:pPr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>2012</w:t>
            </w:r>
          </w:p>
        </w:tc>
        <w:tc>
          <w:tcPr>
            <w:tcW w:w="996" w:type="dxa"/>
          </w:tcPr>
          <w:p w:rsidR="00193881" w:rsidRPr="00AC7243" w:rsidRDefault="009F4CCE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21.975</w:t>
            </w:r>
          </w:p>
        </w:tc>
        <w:tc>
          <w:tcPr>
            <w:tcW w:w="984" w:type="dxa"/>
          </w:tcPr>
          <w:p w:rsidR="00193881" w:rsidRPr="00AC7243" w:rsidRDefault="00747AD9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13.286</w:t>
            </w:r>
          </w:p>
        </w:tc>
        <w:tc>
          <w:tcPr>
            <w:tcW w:w="1280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(+1) 5</w:t>
            </w:r>
          </w:p>
        </w:tc>
        <w:tc>
          <w:tcPr>
            <w:tcW w:w="1276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(+1)3</w:t>
            </w:r>
          </w:p>
        </w:tc>
        <w:tc>
          <w:tcPr>
            <w:tcW w:w="1417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1337/2011</w:t>
            </w:r>
          </w:p>
        </w:tc>
      </w:tr>
      <w:tr w:rsidR="00747AD9" w:rsidTr="00AC7243">
        <w:tc>
          <w:tcPr>
            <w:tcW w:w="817" w:type="dxa"/>
          </w:tcPr>
          <w:p w:rsidR="00193881" w:rsidRPr="00AC7243" w:rsidRDefault="00193881" w:rsidP="003105C9">
            <w:pPr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>2013</w:t>
            </w:r>
          </w:p>
        </w:tc>
        <w:tc>
          <w:tcPr>
            <w:tcW w:w="996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37.123</w:t>
            </w:r>
          </w:p>
        </w:tc>
        <w:tc>
          <w:tcPr>
            <w:tcW w:w="984" w:type="dxa"/>
          </w:tcPr>
          <w:p w:rsidR="00193881" w:rsidRPr="00AC7243" w:rsidRDefault="00747AD9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13.800</w:t>
            </w:r>
          </w:p>
        </w:tc>
        <w:tc>
          <w:tcPr>
            <w:tcW w:w="1280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47AD9" w:rsidTr="00AC7243">
        <w:tc>
          <w:tcPr>
            <w:tcW w:w="817" w:type="dxa"/>
          </w:tcPr>
          <w:p w:rsidR="00193881" w:rsidRPr="00AC7243" w:rsidRDefault="00193881" w:rsidP="003105C9">
            <w:pPr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>2014</w:t>
            </w:r>
          </w:p>
        </w:tc>
        <w:tc>
          <w:tcPr>
            <w:tcW w:w="996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48.759</w:t>
            </w:r>
          </w:p>
        </w:tc>
        <w:tc>
          <w:tcPr>
            <w:tcW w:w="984" w:type="dxa"/>
          </w:tcPr>
          <w:p w:rsidR="00193881" w:rsidRPr="00AC7243" w:rsidRDefault="00747AD9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14.190</w:t>
            </w:r>
          </w:p>
        </w:tc>
        <w:tc>
          <w:tcPr>
            <w:tcW w:w="1280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47AD9" w:rsidTr="00AC7243">
        <w:tc>
          <w:tcPr>
            <w:tcW w:w="817" w:type="dxa"/>
          </w:tcPr>
          <w:p w:rsidR="00193881" w:rsidRPr="00AC7243" w:rsidRDefault="00193881" w:rsidP="003105C9">
            <w:pPr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>2015*</w:t>
            </w:r>
          </w:p>
        </w:tc>
        <w:tc>
          <w:tcPr>
            <w:tcW w:w="996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56.000</w:t>
            </w:r>
          </w:p>
        </w:tc>
        <w:tc>
          <w:tcPr>
            <w:tcW w:w="984" w:type="dxa"/>
          </w:tcPr>
          <w:p w:rsidR="00193881" w:rsidRPr="00AC7243" w:rsidRDefault="00747AD9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14.278</w:t>
            </w:r>
          </w:p>
        </w:tc>
        <w:tc>
          <w:tcPr>
            <w:tcW w:w="1280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(+4)7</w:t>
            </w:r>
          </w:p>
        </w:tc>
        <w:tc>
          <w:tcPr>
            <w:tcW w:w="1417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884/2014</w:t>
            </w:r>
          </w:p>
        </w:tc>
      </w:tr>
      <w:tr w:rsidR="00747AD9" w:rsidTr="00AC7243">
        <w:tc>
          <w:tcPr>
            <w:tcW w:w="817" w:type="dxa"/>
          </w:tcPr>
          <w:p w:rsidR="00193881" w:rsidRPr="00AC7243" w:rsidRDefault="00193881" w:rsidP="003105C9">
            <w:pPr>
              <w:rPr>
                <w:rFonts w:cs="Arial"/>
                <w:b/>
                <w:sz w:val="18"/>
                <w:szCs w:val="18"/>
              </w:rPr>
            </w:pPr>
            <w:r w:rsidRPr="00AC7243">
              <w:rPr>
                <w:rFonts w:cs="Arial"/>
                <w:b/>
                <w:sz w:val="18"/>
                <w:szCs w:val="18"/>
              </w:rPr>
              <w:t>2016*</w:t>
            </w:r>
          </w:p>
        </w:tc>
        <w:tc>
          <w:tcPr>
            <w:tcW w:w="996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62.000</w:t>
            </w:r>
          </w:p>
        </w:tc>
        <w:tc>
          <w:tcPr>
            <w:tcW w:w="984" w:type="dxa"/>
          </w:tcPr>
          <w:p w:rsidR="00193881" w:rsidRPr="00AC7243" w:rsidRDefault="00747AD9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16.000</w:t>
            </w:r>
          </w:p>
        </w:tc>
        <w:tc>
          <w:tcPr>
            <w:tcW w:w="1280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(+2) 7</w:t>
            </w:r>
          </w:p>
        </w:tc>
        <w:tc>
          <w:tcPr>
            <w:tcW w:w="1276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1209/2015</w:t>
            </w:r>
          </w:p>
        </w:tc>
      </w:tr>
      <w:tr w:rsidR="00747AD9" w:rsidTr="00AC7243">
        <w:tc>
          <w:tcPr>
            <w:tcW w:w="817" w:type="dxa"/>
          </w:tcPr>
          <w:p w:rsidR="00193881" w:rsidRPr="00AC7243" w:rsidRDefault="00193881" w:rsidP="003105C9">
            <w:pPr>
              <w:rPr>
                <w:rFonts w:cs="Arial"/>
                <w:b/>
                <w:i/>
                <w:sz w:val="18"/>
                <w:szCs w:val="18"/>
              </w:rPr>
            </w:pPr>
            <w:r w:rsidRPr="00AC7243">
              <w:rPr>
                <w:rFonts w:cs="Arial"/>
                <w:b/>
                <w:i/>
                <w:sz w:val="18"/>
                <w:szCs w:val="18"/>
              </w:rPr>
              <w:t>2017*</w:t>
            </w:r>
          </w:p>
        </w:tc>
        <w:tc>
          <w:tcPr>
            <w:tcW w:w="996" w:type="dxa"/>
          </w:tcPr>
          <w:p w:rsidR="00193881" w:rsidRPr="00AC7243" w:rsidRDefault="00193881" w:rsidP="003105C9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C7243">
              <w:rPr>
                <w:rFonts w:cs="Arial"/>
                <w:i/>
                <w:sz w:val="18"/>
                <w:szCs w:val="18"/>
              </w:rPr>
              <w:t>67.000</w:t>
            </w:r>
          </w:p>
        </w:tc>
        <w:tc>
          <w:tcPr>
            <w:tcW w:w="984" w:type="dxa"/>
          </w:tcPr>
          <w:p w:rsidR="00193881" w:rsidRPr="00AC7243" w:rsidRDefault="00747AD9" w:rsidP="003105C9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C7243">
              <w:rPr>
                <w:rFonts w:cs="Arial"/>
                <w:i/>
                <w:sz w:val="18"/>
                <w:szCs w:val="18"/>
              </w:rPr>
              <w:t>17.300</w:t>
            </w:r>
          </w:p>
        </w:tc>
        <w:tc>
          <w:tcPr>
            <w:tcW w:w="1280" w:type="dxa"/>
          </w:tcPr>
          <w:p w:rsidR="00193881" w:rsidRPr="00AC7243" w:rsidRDefault="00193881" w:rsidP="003105C9">
            <w:pPr>
              <w:jc w:val="center"/>
              <w:rPr>
                <w:rFonts w:cs="Arial"/>
                <w:sz w:val="18"/>
                <w:szCs w:val="18"/>
              </w:rPr>
            </w:pPr>
            <w:r w:rsidRPr="00AC72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193881" w:rsidRPr="00AC7243" w:rsidRDefault="00193881" w:rsidP="003105C9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C7243">
              <w:rPr>
                <w:rFonts w:cs="Arial"/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193881" w:rsidRPr="00AC7243" w:rsidRDefault="00193881" w:rsidP="003105C9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C7243">
              <w:rPr>
                <w:rFonts w:cs="Arial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193881" w:rsidRPr="00AC7243" w:rsidRDefault="00193881" w:rsidP="003105C9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C7243">
              <w:rPr>
                <w:rFonts w:cs="Arial"/>
                <w:i/>
                <w:sz w:val="18"/>
                <w:szCs w:val="18"/>
              </w:rPr>
              <w:t>(+2)</w:t>
            </w:r>
          </w:p>
        </w:tc>
        <w:tc>
          <w:tcPr>
            <w:tcW w:w="1383" w:type="dxa"/>
          </w:tcPr>
          <w:p w:rsidR="00193881" w:rsidRPr="00AC7243" w:rsidRDefault="00193881" w:rsidP="003105C9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C7243">
              <w:rPr>
                <w:rFonts w:cs="Arial"/>
                <w:i/>
                <w:sz w:val="18"/>
                <w:szCs w:val="18"/>
              </w:rPr>
              <w:t>817/2016</w:t>
            </w:r>
          </w:p>
        </w:tc>
      </w:tr>
    </w:tbl>
    <w:p w:rsidR="00AC7243" w:rsidRPr="00AC7243" w:rsidRDefault="004E6E25" w:rsidP="004E6E25">
      <w:pPr>
        <w:ind w:left="426"/>
        <w:rPr>
          <w:rFonts w:cs="Arial"/>
          <w:sz w:val="16"/>
          <w:szCs w:val="16"/>
        </w:rPr>
      </w:pPr>
      <w:r w:rsidRPr="00AC7243">
        <w:rPr>
          <w:rFonts w:cs="Arial"/>
          <w:sz w:val="16"/>
          <w:szCs w:val="16"/>
        </w:rPr>
        <w:t>* inkl. ca. 7.000 Anträge auf Mittagessen</w:t>
      </w:r>
      <w:r w:rsidR="00D254B1" w:rsidRPr="00AC7243">
        <w:rPr>
          <w:rFonts w:cs="Arial"/>
          <w:sz w:val="16"/>
          <w:szCs w:val="16"/>
        </w:rPr>
        <w:t>, die jeweils</w:t>
      </w:r>
      <w:r w:rsidRPr="00AC7243">
        <w:rPr>
          <w:rFonts w:cs="Arial"/>
          <w:sz w:val="16"/>
          <w:szCs w:val="16"/>
        </w:rPr>
        <w:t xml:space="preserve"> </w:t>
      </w:r>
      <w:r w:rsidR="00564210" w:rsidRPr="00AC7243">
        <w:rPr>
          <w:rFonts w:cs="Arial"/>
          <w:sz w:val="16"/>
          <w:szCs w:val="16"/>
        </w:rPr>
        <w:t xml:space="preserve">im IV. Quartal </w:t>
      </w:r>
      <w:r w:rsidRPr="00AC7243">
        <w:rPr>
          <w:rFonts w:cs="Arial"/>
          <w:sz w:val="16"/>
          <w:szCs w:val="16"/>
        </w:rPr>
        <w:t xml:space="preserve">zur Abrechnung </w:t>
      </w:r>
      <w:r w:rsidR="00D254B1" w:rsidRPr="00AC7243">
        <w:rPr>
          <w:rFonts w:cs="Arial"/>
          <w:sz w:val="16"/>
          <w:szCs w:val="16"/>
        </w:rPr>
        <w:t xml:space="preserve">kommen </w:t>
      </w:r>
    </w:p>
    <w:p w:rsidR="004E6E25" w:rsidRPr="00AC7243" w:rsidRDefault="004E6E25" w:rsidP="004E6E25">
      <w:pPr>
        <w:ind w:left="426"/>
        <w:rPr>
          <w:rFonts w:cs="Arial"/>
          <w:sz w:val="16"/>
          <w:szCs w:val="16"/>
        </w:rPr>
      </w:pPr>
      <w:r w:rsidRPr="00AC7243">
        <w:rPr>
          <w:rFonts w:cs="Arial"/>
          <w:sz w:val="16"/>
          <w:szCs w:val="16"/>
        </w:rPr>
        <w:t>(über Listen vom Schulverwaltungsamt)</w:t>
      </w:r>
    </w:p>
    <w:p w:rsidR="004E6E25" w:rsidRDefault="004E6E25" w:rsidP="0004354A">
      <w:pPr>
        <w:rPr>
          <w:rFonts w:cs="Arial"/>
          <w:color w:val="FF0000"/>
          <w:sz w:val="22"/>
          <w:szCs w:val="22"/>
        </w:rPr>
      </w:pPr>
    </w:p>
    <w:p w:rsidR="00AC7243" w:rsidRPr="0063686D" w:rsidRDefault="003B269D" w:rsidP="0004354A">
      <w:pPr>
        <w:rPr>
          <w:rFonts w:cs="Arial"/>
          <w:sz w:val="22"/>
          <w:szCs w:val="22"/>
        </w:rPr>
      </w:pPr>
      <w:r w:rsidRPr="00642FCB">
        <w:rPr>
          <w:rFonts w:cs="Arial"/>
          <w:sz w:val="22"/>
          <w:szCs w:val="22"/>
        </w:rPr>
        <w:t>Bei einer prognostizierten Zunahme der Anzahl der Bedarfsgemeinschaften im Jobcenter um rund 2.000 bis Dezember 2017</w:t>
      </w:r>
      <w:r>
        <w:rPr>
          <w:rFonts w:cs="Arial"/>
          <w:sz w:val="22"/>
          <w:szCs w:val="22"/>
        </w:rPr>
        <w:t xml:space="preserve"> durch</w:t>
      </w:r>
      <w:r w:rsidRPr="00642FCB">
        <w:rPr>
          <w:rFonts w:cs="Arial"/>
          <w:sz w:val="22"/>
          <w:szCs w:val="22"/>
        </w:rPr>
        <w:t xml:space="preserve"> </w:t>
      </w:r>
      <w:r w:rsidRPr="0063686D">
        <w:rPr>
          <w:rFonts w:cs="Arial"/>
          <w:sz w:val="22"/>
          <w:szCs w:val="22"/>
        </w:rPr>
        <w:t>anerkannte Flüchtlinge</w:t>
      </w:r>
      <w:r w:rsidRPr="00642FCB">
        <w:rPr>
          <w:rFonts w:cs="Arial"/>
          <w:sz w:val="22"/>
          <w:szCs w:val="22"/>
        </w:rPr>
        <w:t xml:space="preserve"> ist davon auszugehen, dass die Zahl der BuT-Antragstellenden nochmals um ca. 1.300  und die der Anträge um ca. 5.000 ste</w:t>
      </w:r>
      <w:r w:rsidRPr="00642FCB">
        <w:rPr>
          <w:rFonts w:cs="Arial"/>
          <w:sz w:val="22"/>
          <w:szCs w:val="22"/>
        </w:rPr>
        <w:t>i</w:t>
      </w:r>
      <w:r w:rsidRPr="00642FCB">
        <w:rPr>
          <w:rFonts w:cs="Arial"/>
          <w:sz w:val="22"/>
          <w:szCs w:val="22"/>
        </w:rPr>
        <w:t>gen werden.</w:t>
      </w:r>
      <w:r w:rsidRPr="002705B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Eine </w:t>
      </w:r>
      <w:r w:rsidRPr="002705B7">
        <w:rPr>
          <w:rFonts w:cs="Arial"/>
          <w:color w:val="000000"/>
          <w:sz w:val="22"/>
          <w:szCs w:val="22"/>
        </w:rPr>
        <w:t>bislang nicht abschätzbare Zahl</w:t>
      </w:r>
      <w:r>
        <w:rPr>
          <w:rFonts w:cs="Arial"/>
          <w:color w:val="000000"/>
          <w:sz w:val="22"/>
          <w:szCs w:val="22"/>
        </w:rPr>
        <w:t xml:space="preserve"> weiterer Antragsberechtigter wird sich aus </w:t>
      </w:r>
      <w:r>
        <w:rPr>
          <w:rFonts w:cs="Arial"/>
          <w:color w:val="000000"/>
          <w:sz w:val="22"/>
          <w:szCs w:val="22"/>
        </w:rPr>
        <w:lastRenderedPageBreak/>
        <w:t xml:space="preserve">der </w:t>
      </w:r>
      <w:r w:rsidRPr="002705B7">
        <w:rPr>
          <w:rFonts w:cs="Arial"/>
          <w:color w:val="000000"/>
          <w:sz w:val="22"/>
          <w:szCs w:val="22"/>
        </w:rPr>
        <w:t>Wohngeldreform 2016</w:t>
      </w:r>
      <w:r>
        <w:rPr>
          <w:rFonts w:cs="Arial"/>
          <w:color w:val="000000"/>
          <w:sz w:val="22"/>
          <w:szCs w:val="22"/>
        </w:rPr>
        <w:t xml:space="preserve"> ergeben</w:t>
      </w:r>
      <w:r w:rsidRPr="002705B7">
        <w:rPr>
          <w:rFonts w:cs="Arial"/>
          <w:color w:val="000000"/>
          <w:sz w:val="22"/>
          <w:szCs w:val="22"/>
        </w:rPr>
        <w:t>, die Wohngeld einer größeren Zahl von Berechtigten z</w:t>
      </w:r>
      <w:r w:rsidRPr="002705B7">
        <w:rPr>
          <w:rFonts w:cs="Arial"/>
          <w:color w:val="000000"/>
          <w:sz w:val="22"/>
          <w:szCs w:val="22"/>
        </w:rPr>
        <w:t>u</w:t>
      </w:r>
      <w:r w:rsidRPr="002705B7">
        <w:rPr>
          <w:rFonts w:cs="Arial"/>
          <w:color w:val="000000"/>
          <w:sz w:val="22"/>
          <w:szCs w:val="22"/>
        </w:rPr>
        <w:t xml:space="preserve">gängig macht. </w:t>
      </w:r>
    </w:p>
    <w:p w:rsidR="0004354A" w:rsidRPr="0063686D" w:rsidRDefault="0004354A" w:rsidP="0004354A">
      <w:pPr>
        <w:rPr>
          <w:rFonts w:cs="Arial"/>
          <w:sz w:val="22"/>
          <w:szCs w:val="22"/>
        </w:rPr>
      </w:pPr>
    </w:p>
    <w:p w:rsidR="00CE2416" w:rsidRPr="0063686D" w:rsidRDefault="00CE2416" w:rsidP="0004354A">
      <w:pPr>
        <w:rPr>
          <w:rFonts w:cs="Arial"/>
          <w:color w:val="000000"/>
          <w:sz w:val="22"/>
          <w:szCs w:val="22"/>
        </w:rPr>
      </w:pPr>
      <w:r w:rsidRPr="0063686D">
        <w:rPr>
          <w:rFonts w:cs="Arial"/>
          <w:color w:val="000000"/>
          <w:sz w:val="22"/>
          <w:szCs w:val="22"/>
        </w:rPr>
        <w:t xml:space="preserve">Mit der Schaffung </w:t>
      </w:r>
      <w:r w:rsidR="00CC6339">
        <w:rPr>
          <w:rFonts w:cs="Arial"/>
          <w:color w:val="000000"/>
          <w:sz w:val="22"/>
          <w:szCs w:val="22"/>
        </w:rPr>
        <w:t xml:space="preserve">der vier zusätzlichen </w:t>
      </w:r>
      <w:r w:rsidRPr="0063686D">
        <w:rPr>
          <w:rFonts w:cs="Arial"/>
          <w:color w:val="000000"/>
          <w:sz w:val="22"/>
          <w:szCs w:val="22"/>
        </w:rPr>
        <w:t>Stellen</w:t>
      </w:r>
      <w:r w:rsidR="00CC6339">
        <w:rPr>
          <w:rFonts w:cs="Arial"/>
          <w:color w:val="000000"/>
          <w:sz w:val="22"/>
          <w:szCs w:val="22"/>
        </w:rPr>
        <w:t xml:space="preserve"> für die Abrechnung von BuT-Leistungen</w:t>
      </w:r>
      <w:r w:rsidRPr="0063686D">
        <w:rPr>
          <w:rFonts w:cs="Arial"/>
          <w:color w:val="000000"/>
          <w:sz w:val="22"/>
          <w:szCs w:val="22"/>
        </w:rPr>
        <w:t xml:space="preserve"> sollten gleichzeitig die </w:t>
      </w:r>
      <w:r w:rsidR="00731A41" w:rsidRPr="0063686D">
        <w:rPr>
          <w:rFonts w:cs="Arial"/>
          <w:color w:val="000000"/>
          <w:sz w:val="22"/>
          <w:szCs w:val="22"/>
        </w:rPr>
        <w:t>sechs</w:t>
      </w:r>
      <w:r w:rsidRPr="0063686D">
        <w:rPr>
          <w:rFonts w:cs="Arial"/>
          <w:color w:val="000000"/>
          <w:sz w:val="22"/>
          <w:szCs w:val="22"/>
        </w:rPr>
        <w:t xml:space="preserve"> Sachbearbeiter/innen in der Leistungsgewährung entlastet werden. Ve</w:t>
      </w:r>
      <w:r w:rsidRPr="0063686D">
        <w:rPr>
          <w:rFonts w:cs="Arial"/>
          <w:color w:val="000000"/>
          <w:sz w:val="22"/>
          <w:szCs w:val="22"/>
        </w:rPr>
        <w:t>r</w:t>
      </w:r>
      <w:r w:rsidRPr="0063686D">
        <w:rPr>
          <w:rFonts w:cs="Arial"/>
          <w:color w:val="000000"/>
          <w:sz w:val="22"/>
          <w:szCs w:val="22"/>
        </w:rPr>
        <w:t xml:space="preserve">sucht wurde dies mit der Einrichtung einer „Auskunftsstelle“ (heute: Qualifizierte Information). Dort werden von den Abrechner/-innen </w:t>
      </w:r>
      <w:r w:rsidR="00A15BE6" w:rsidRPr="0063686D">
        <w:rPr>
          <w:rFonts w:cs="Arial"/>
          <w:color w:val="000000"/>
          <w:sz w:val="22"/>
          <w:szCs w:val="22"/>
        </w:rPr>
        <w:t xml:space="preserve">während der Öffnungszeiten </w:t>
      </w:r>
      <w:r w:rsidRPr="0063686D">
        <w:rPr>
          <w:rFonts w:cs="Arial"/>
          <w:color w:val="000000"/>
          <w:sz w:val="22"/>
          <w:szCs w:val="22"/>
        </w:rPr>
        <w:t>die Vorsprachen, Telefon</w:t>
      </w:r>
      <w:r w:rsidRPr="0063686D">
        <w:rPr>
          <w:rFonts w:cs="Arial"/>
          <w:color w:val="000000"/>
          <w:sz w:val="22"/>
          <w:szCs w:val="22"/>
        </w:rPr>
        <w:t>a</w:t>
      </w:r>
      <w:r w:rsidRPr="0063686D">
        <w:rPr>
          <w:rFonts w:cs="Arial"/>
          <w:color w:val="000000"/>
          <w:sz w:val="22"/>
          <w:szCs w:val="22"/>
        </w:rPr>
        <w:t xml:space="preserve">te, E-Mail-Anfragen </w:t>
      </w:r>
      <w:r w:rsidR="00A15BE6" w:rsidRPr="0063686D">
        <w:rPr>
          <w:rFonts w:cs="Arial"/>
          <w:color w:val="000000"/>
          <w:sz w:val="22"/>
          <w:szCs w:val="22"/>
        </w:rPr>
        <w:t xml:space="preserve">vorrangig </w:t>
      </w:r>
      <w:r w:rsidRPr="0063686D">
        <w:rPr>
          <w:rFonts w:cs="Arial"/>
          <w:color w:val="000000"/>
          <w:sz w:val="22"/>
          <w:szCs w:val="22"/>
        </w:rPr>
        <w:t xml:space="preserve">entgegen genommen und soweit </w:t>
      </w:r>
      <w:r w:rsidR="00CC6339">
        <w:rPr>
          <w:rFonts w:cs="Arial"/>
          <w:color w:val="000000"/>
          <w:sz w:val="22"/>
          <w:szCs w:val="22"/>
        </w:rPr>
        <w:t>möglich</w:t>
      </w:r>
      <w:r w:rsidRPr="0063686D">
        <w:rPr>
          <w:rFonts w:cs="Arial"/>
          <w:color w:val="000000"/>
          <w:sz w:val="22"/>
          <w:szCs w:val="22"/>
        </w:rPr>
        <w:t xml:space="preserve"> gleich beantwortet. </w:t>
      </w:r>
    </w:p>
    <w:p w:rsidR="00CE2416" w:rsidRPr="0063686D" w:rsidRDefault="00CE2416" w:rsidP="0004354A">
      <w:pPr>
        <w:rPr>
          <w:rFonts w:cs="Arial"/>
          <w:color w:val="000000"/>
          <w:sz w:val="22"/>
          <w:szCs w:val="22"/>
        </w:rPr>
      </w:pPr>
    </w:p>
    <w:p w:rsidR="00CE2416" w:rsidRPr="0063686D" w:rsidRDefault="00CE2416" w:rsidP="0004354A">
      <w:pPr>
        <w:rPr>
          <w:rFonts w:cs="Arial"/>
          <w:sz w:val="22"/>
          <w:szCs w:val="22"/>
        </w:rPr>
      </w:pPr>
      <w:r w:rsidRPr="0063686D">
        <w:rPr>
          <w:rFonts w:cs="Arial"/>
          <w:color w:val="000000"/>
          <w:sz w:val="22"/>
          <w:szCs w:val="22"/>
        </w:rPr>
        <w:t xml:space="preserve">Durch die </w:t>
      </w:r>
      <w:r w:rsidR="00CC6339">
        <w:rPr>
          <w:rFonts w:cs="Arial"/>
          <w:color w:val="000000"/>
          <w:sz w:val="22"/>
          <w:szCs w:val="22"/>
        </w:rPr>
        <w:t>seit</w:t>
      </w:r>
      <w:r w:rsidR="008F4B7E" w:rsidRPr="0063686D">
        <w:rPr>
          <w:rFonts w:cs="Arial"/>
          <w:color w:val="000000"/>
          <w:sz w:val="22"/>
          <w:szCs w:val="22"/>
        </w:rPr>
        <w:t xml:space="preserve"> </w:t>
      </w:r>
      <w:r w:rsidR="008D799F" w:rsidRPr="0063686D">
        <w:rPr>
          <w:rFonts w:cs="Arial"/>
          <w:color w:val="000000"/>
          <w:sz w:val="22"/>
          <w:szCs w:val="22"/>
        </w:rPr>
        <w:t xml:space="preserve">2014 </w:t>
      </w:r>
      <w:r w:rsidR="00CC6339">
        <w:rPr>
          <w:rFonts w:cs="Arial"/>
          <w:color w:val="000000"/>
          <w:sz w:val="22"/>
          <w:szCs w:val="22"/>
        </w:rPr>
        <w:t xml:space="preserve">weiter </w:t>
      </w:r>
      <w:r w:rsidRPr="0063686D">
        <w:rPr>
          <w:rFonts w:cs="Arial"/>
          <w:color w:val="000000"/>
          <w:sz w:val="22"/>
          <w:szCs w:val="22"/>
        </w:rPr>
        <w:t>stark gestiegene Zahl der Leistungsberechtigten</w:t>
      </w:r>
      <w:r w:rsidR="00CC6339">
        <w:rPr>
          <w:rFonts w:cs="Arial"/>
          <w:color w:val="000000"/>
          <w:sz w:val="22"/>
          <w:szCs w:val="22"/>
        </w:rPr>
        <w:t xml:space="preserve"> und damit auch der Vorsprachen</w:t>
      </w:r>
      <w:r w:rsidRPr="0063686D">
        <w:rPr>
          <w:rFonts w:cs="Arial"/>
          <w:color w:val="000000"/>
          <w:sz w:val="22"/>
          <w:szCs w:val="22"/>
        </w:rPr>
        <w:t xml:space="preserve">, </w:t>
      </w:r>
      <w:r w:rsidR="008D799F" w:rsidRPr="0063686D">
        <w:rPr>
          <w:rFonts w:cs="Arial"/>
          <w:color w:val="000000"/>
          <w:sz w:val="22"/>
          <w:szCs w:val="22"/>
        </w:rPr>
        <w:t>ergeben</w:t>
      </w:r>
      <w:r w:rsidRPr="0063686D">
        <w:rPr>
          <w:rFonts w:cs="Arial"/>
          <w:color w:val="000000"/>
          <w:sz w:val="22"/>
          <w:szCs w:val="22"/>
        </w:rPr>
        <w:t xml:space="preserve"> sich nun aber spürbare Rückstände bei de</w:t>
      </w:r>
      <w:r w:rsidR="008D799F" w:rsidRPr="0063686D">
        <w:rPr>
          <w:rFonts w:cs="Arial"/>
          <w:color w:val="000000"/>
          <w:sz w:val="22"/>
          <w:szCs w:val="22"/>
        </w:rPr>
        <w:t>n</w:t>
      </w:r>
      <w:r w:rsidRPr="0063686D">
        <w:rPr>
          <w:rFonts w:cs="Arial"/>
          <w:color w:val="000000"/>
          <w:sz w:val="22"/>
          <w:szCs w:val="22"/>
        </w:rPr>
        <w:t xml:space="preserve"> originären Aufgabe</w:t>
      </w:r>
      <w:r w:rsidR="008D799F" w:rsidRPr="0063686D">
        <w:rPr>
          <w:rFonts w:cs="Arial"/>
          <w:color w:val="000000"/>
          <w:sz w:val="22"/>
          <w:szCs w:val="22"/>
        </w:rPr>
        <w:t>n</w:t>
      </w:r>
      <w:r w:rsidR="00CC6339">
        <w:rPr>
          <w:rFonts w:cs="Arial"/>
          <w:color w:val="000000"/>
          <w:sz w:val="22"/>
          <w:szCs w:val="22"/>
        </w:rPr>
        <w:t xml:space="preserve"> der Abrechner/-innen</w:t>
      </w:r>
      <w:r w:rsidRPr="0063686D">
        <w:rPr>
          <w:rFonts w:cs="Arial"/>
          <w:color w:val="000000"/>
          <w:sz w:val="22"/>
          <w:szCs w:val="22"/>
        </w:rPr>
        <w:t xml:space="preserve">, </w:t>
      </w:r>
      <w:r w:rsidR="00CC6339">
        <w:rPr>
          <w:rFonts w:cs="Arial"/>
          <w:color w:val="000000"/>
          <w:sz w:val="22"/>
          <w:szCs w:val="22"/>
        </w:rPr>
        <w:t xml:space="preserve">nämlich bei </w:t>
      </w:r>
      <w:r w:rsidRPr="0063686D">
        <w:rPr>
          <w:rFonts w:cs="Arial"/>
          <w:color w:val="000000"/>
          <w:sz w:val="22"/>
          <w:szCs w:val="22"/>
        </w:rPr>
        <w:t>der Abrech</w:t>
      </w:r>
      <w:r w:rsidR="00A15BE6" w:rsidRPr="0063686D">
        <w:rPr>
          <w:rFonts w:cs="Arial"/>
          <w:color w:val="000000"/>
          <w:sz w:val="22"/>
          <w:szCs w:val="22"/>
        </w:rPr>
        <w:t>nung von BuT-Leistungen. So können</w:t>
      </w:r>
      <w:r w:rsidR="008D799F" w:rsidRPr="0063686D">
        <w:rPr>
          <w:rFonts w:cs="Arial"/>
          <w:color w:val="000000"/>
          <w:sz w:val="22"/>
          <w:szCs w:val="22"/>
        </w:rPr>
        <w:t xml:space="preserve"> bereits jetzt</w:t>
      </w:r>
      <w:r w:rsidR="00A15BE6" w:rsidRPr="0063686D">
        <w:rPr>
          <w:rFonts w:cs="Arial"/>
          <w:color w:val="000000"/>
          <w:sz w:val="22"/>
          <w:szCs w:val="22"/>
        </w:rPr>
        <w:t xml:space="preserve"> </w:t>
      </w:r>
      <w:r w:rsidRPr="0063686D">
        <w:rPr>
          <w:rFonts w:cs="Arial"/>
          <w:color w:val="000000"/>
          <w:sz w:val="22"/>
          <w:szCs w:val="22"/>
        </w:rPr>
        <w:t xml:space="preserve">Listen </w:t>
      </w:r>
      <w:r w:rsidR="00A15BE6" w:rsidRPr="0063686D">
        <w:rPr>
          <w:rFonts w:cs="Arial"/>
          <w:color w:val="000000"/>
          <w:sz w:val="22"/>
          <w:szCs w:val="22"/>
        </w:rPr>
        <w:t>von Anbietern</w:t>
      </w:r>
      <w:r w:rsidR="009646FE">
        <w:rPr>
          <w:rFonts w:cs="Arial"/>
          <w:color w:val="000000"/>
          <w:sz w:val="22"/>
          <w:szCs w:val="22"/>
        </w:rPr>
        <w:t xml:space="preserve"> </w:t>
      </w:r>
      <w:r w:rsidR="009646FE">
        <w:rPr>
          <w:rFonts w:cs="Arial"/>
          <w:sz w:val="22"/>
          <w:szCs w:val="22"/>
        </w:rPr>
        <w:t>sowie Schulverwaltungs- und Jugendamt</w:t>
      </w:r>
      <w:r w:rsidR="00A15BE6" w:rsidRPr="0063686D">
        <w:rPr>
          <w:rFonts w:cs="Arial"/>
          <w:color w:val="000000"/>
          <w:sz w:val="22"/>
          <w:szCs w:val="22"/>
        </w:rPr>
        <w:t xml:space="preserve"> </w:t>
      </w:r>
      <w:r w:rsidRPr="0063686D">
        <w:rPr>
          <w:rFonts w:cs="Arial"/>
          <w:color w:val="000000"/>
          <w:sz w:val="22"/>
          <w:szCs w:val="22"/>
        </w:rPr>
        <w:t>erst mit einem Verzug von 9 M</w:t>
      </w:r>
      <w:r w:rsidRPr="0063686D">
        <w:rPr>
          <w:rFonts w:cs="Arial"/>
          <w:color w:val="000000"/>
          <w:sz w:val="22"/>
          <w:szCs w:val="22"/>
        </w:rPr>
        <w:t>o</w:t>
      </w:r>
      <w:r w:rsidRPr="0063686D">
        <w:rPr>
          <w:rFonts w:cs="Arial"/>
          <w:color w:val="000000"/>
          <w:sz w:val="22"/>
          <w:szCs w:val="22"/>
        </w:rPr>
        <w:t xml:space="preserve">naten abgerechnet werden. Daher </w:t>
      </w:r>
      <w:r w:rsidR="00A15BE6" w:rsidRPr="0063686D">
        <w:rPr>
          <w:rFonts w:cs="Arial"/>
          <w:color w:val="000000"/>
          <w:sz w:val="22"/>
          <w:szCs w:val="22"/>
        </w:rPr>
        <w:t xml:space="preserve">ist geplant, </w:t>
      </w:r>
      <w:r w:rsidRPr="0063686D">
        <w:rPr>
          <w:rFonts w:cs="Arial"/>
          <w:color w:val="000000"/>
          <w:sz w:val="22"/>
          <w:szCs w:val="22"/>
        </w:rPr>
        <w:t>die Abrechner/-innen von den Aufgaben der Qu</w:t>
      </w:r>
      <w:r w:rsidRPr="0063686D">
        <w:rPr>
          <w:rFonts w:cs="Arial"/>
          <w:color w:val="000000"/>
          <w:sz w:val="22"/>
          <w:szCs w:val="22"/>
        </w:rPr>
        <w:t>a</w:t>
      </w:r>
      <w:r w:rsidRPr="0063686D">
        <w:rPr>
          <w:rFonts w:cs="Arial"/>
          <w:color w:val="000000"/>
          <w:sz w:val="22"/>
          <w:szCs w:val="22"/>
        </w:rPr>
        <w:t>lifizierten Information</w:t>
      </w:r>
      <w:r w:rsidR="00325C7F">
        <w:rPr>
          <w:rFonts w:cs="Arial"/>
          <w:color w:val="000000"/>
          <w:sz w:val="22"/>
          <w:szCs w:val="22"/>
        </w:rPr>
        <w:t>, die nicht zu ihren originären Aufgaben gehören,</w:t>
      </w:r>
      <w:r w:rsidRPr="0063686D">
        <w:rPr>
          <w:rFonts w:cs="Arial"/>
          <w:color w:val="000000"/>
          <w:sz w:val="22"/>
          <w:szCs w:val="22"/>
        </w:rPr>
        <w:t xml:space="preserve"> </w:t>
      </w:r>
      <w:r w:rsidR="00325C7F">
        <w:rPr>
          <w:rFonts w:cs="Arial"/>
          <w:color w:val="000000"/>
          <w:sz w:val="22"/>
          <w:szCs w:val="22"/>
        </w:rPr>
        <w:t>zu entlasten</w:t>
      </w:r>
      <w:r w:rsidR="00A15BE6" w:rsidRPr="0063686D">
        <w:rPr>
          <w:rFonts w:cs="Arial"/>
          <w:color w:val="000000"/>
          <w:sz w:val="22"/>
          <w:szCs w:val="22"/>
        </w:rPr>
        <w:t xml:space="preserve"> - </w:t>
      </w:r>
      <w:r w:rsidRPr="0063686D">
        <w:rPr>
          <w:rFonts w:cs="Arial"/>
          <w:color w:val="000000"/>
          <w:sz w:val="22"/>
          <w:szCs w:val="22"/>
        </w:rPr>
        <w:t>siehe Ste</w:t>
      </w:r>
      <w:r w:rsidRPr="0063686D">
        <w:rPr>
          <w:rFonts w:cs="Arial"/>
          <w:color w:val="000000"/>
          <w:sz w:val="22"/>
          <w:szCs w:val="22"/>
        </w:rPr>
        <w:t>l</w:t>
      </w:r>
      <w:r w:rsidRPr="0063686D">
        <w:rPr>
          <w:rFonts w:cs="Arial"/>
          <w:color w:val="000000"/>
          <w:sz w:val="22"/>
          <w:szCs w:val="22"/>
        </w:rPr>
        <w:t>lenschaffungsant</w:t>
      </w:r>
      <w:r w:rsidR="00A15BE6" w:rsidRPr="0063686D">
        <w:rPr>
          <w:rFonts w:cs="Arial"/>
          <w:color w:val="000000"/>
          <w:sz w:val="22"/>
          <w:szCs w:val="22"/>
        </w:rPr>
        <w:t xml:space="preserve">rag </w:t>
      </w:r>
      <w:r w:rsidR="00A15BE6" w:rsidRPr="0021591C">
        <w:rPr>
          <w:rFonts w:cs="Arial"/>
          <w:color w:val="000000"/>
          <w:sz w:val="22"/>
          <w:szCs w:val="22"/>
        </w:rPr>
        <w:t>Anlage</w:t>
      </w:r>
      <w:r w:rsidR="009646FE" w:rsidRPr="0021591C">
        <w:rPr>
          <w:rFonts w:cs="Arial"/>
          <w:color w:val="000000"/>
          <w:sz w:val="22"/>
          <w:szCs w:val="22"/>
        </w:rPr>
        <w:t xml:space="preserve"> 11</w:t>
      </w:r>
      <w:r w:rsidR="00A15BE6" w:rsidRPr="0021591C">
        <w:rPr>
          <w:rFonts w:cs="Arial"/>
          <w:color w:val="000000"/>
          <w:sz w:val="22"/>
          <w:szCs w:val="22"/>
        </w:rPr>
        <w:t xml:space="preserve"> zu GRDrs 817/2016</w:t>
      </w:r>
      <w:r w:rsidRPr="0021591C">
        <w:rPr>
          <w:rFonts w:cs="Arial"/>
          <w:color w:val="000000"/>
          <w:sz w:val="22"/>
          <w:szCs w:val="22"/>
        </w:rPr>
        <w:t>.</w:t>
      </w:r>
    </w:p>
    <w:p w:rsidR="00CE2416" w:rsidRPr="0063686D" w:rsidRDefault="00CE2416" w:rsidP="0004354A">
      <w:pPr>
        <w:rPr>
          <w:rFonts w:cs="Arial"/>
          <w:sz w:val="22"/>
          <w:szCs w:val="22"/>
        </w:rPr>
      </w:pPr>
    </w:p>
    <w:p w:rsidR="00FD0C6A" w:rsidRPr="0063686D" w:rsidRDefault="0004354A" w:rsidP="0004354A">
      <w:pPr>
        <w:rPr>
          <w:rFonts w:cs="Arial"/>
          <w:sz w:val="22"/>
          <w:szCs w:val="22"/>
        </w:rPr>
      </w:pPr>
      <w:r w:rsidRPr="0063686D">
        <w:rPr>
          <w:rFonts w:cs="Arial"/>
          <w:sz w:val="22"/>
          <w:szCs w:val="22"/>
        </w:rPr>
        <w:t xml:space="preserve">Sollten die beiden mit dem KW-Vermerk versehenen Stellen wegfallen, ist die Erfüllung des Rechtsanspruchs der berechtigten Kinder, Jugendlichen und jungen Erwachsenen </w:t>
      </w:r>
      <w:r w:rsidR="00CE2416" w:rsidRPr="0063686D">
        <w:rPr>
          <w:rFonts w:cs="Arial"/>
          <w:sz w:val="22"/>
          <w:szCs w:val="22"/>
        </w:rPr>
        <w:t xml:space="preserve">auf BuT-Leistungen als existenzsichernde Leistungen </w:t>
      </w:r>
      <w:r w:rsidRPr="0063686D">
        <w:rPr>
          <w:rFonts w:cs="Arial"/>
          <w:sz w:val="22"/>
          <w:szCs w:val="22"/>
        </w:rPr>
        <w:t xml:space="preserve">nicht länger </w:t>
      </w:r>
      <w:r w:rsidR="008D799F" w:rsidRPr="0063686D">
        <w:rPr>
          <w:rFonts w:cs="Arial"/>
          <w:sz w:val="22"/>
          <w:szCs w:val="22"/>
        </w:rPr>
        <w:t>gewährleistet</w:t>
      </w:r>
      <w:r w:rsidRPr="0063686D">
        <w:rPr>
          <w:rFonts w:cs="Arial"/>
          <w:sz w:val="22"/>
          <w:szCs w:val="22"/>
        </w:rPr>
        <w:t>.</w:t>
      </w:r>
      <w:r w:rsidR="008313CD" w:rsidRPr="0063686D">
        <w:rPr>
          <w:rFonts w:cs="Arial"/>
          <w:sz w:val="22"/>
          <w:szCs w:val="22"/>
        </w:rPr>
        <w:t xml:space="preserve"> </w:t>
      </w:r>
      <w:r w:rsidRPr="0063686D">
        <w:rPr>
          <w:rFonts w:cs="Arial"/>
          <w:sz w:val="22"/>
          <w:szCs w:val="22"/>
        </w:rPr>
        <w:t xml:space="preserve">Bereits jetzt </w:t>
      </w:r>
      <w:r w:rsidR="008D799F" w:rsidRPr="0063686D">
        <w:rPr>
          <w:rFonts w:cs="Arial"/>
          <w:sz w:val="22"/>
          <w:szCs w:val="22"/>
        </w:rPr>
        <w:t>erfolgt</w:t>
      </w:r>
      <w:r w:rsidRPr="0063686D">
        <w:rPr>
          <w:rFonts w:cs="Arial"/>
          <w:sz w:val="22"/>
          <w:szCs w:val="22"/>
        </w:rPr>
        <w:t xml:space="preserve"> </w:t>
      </w:r>
      <w:r w:rsidR="00FD0C6A" w:rsidRPr="0063686D">
        <w:rPr>
          <w:rFonts w:cs="Arial"/>
          <w:sz w:val="22"/>
          <w:szCs w:val="22"/>
        </w:rPr>
        <w:t xml:space="preserve">z.T. eine vereinfachte Bewilligung nach summarischer Prüfung </w:t>
      </w:r>
      <w:r w:rsidR="00CE2416" w:rsidRPr="0063686D">
        <w:rPr>
          <w:rFonts w:cs="Arial"/>
          <w:sz w:val="22"/>
          <w:szCs w:val="22"/>
        </w:rPr>
        <w:t>eines</w:t>
      </w:r>
      <w:r w:rsidR="00FD0C6A" w:rsidRPr="0063686D">
        <w:rPr>
          <w:rFonts w:cs="Arial"/>
          <w:sz w:val="22"/>
          <w:szCs w:val="22"/>
        </w:rPr>
        <w:t xml:space="preserve"> Antrags</w:t>
      </w:r>
      <w:r w:rsidR="007C6E5D" w:rsidRPr="0063686D">
        <w:rPr>
          <w:rFonts w:cs="Arial"/>
          <w:sz w:val="22"/>
          <w:szCs w:val="22"/>
        </w:rPr>
        <w:t xml:space="preserve">, </w:t>
      </w:r>
      <w:r w:rsidRPr="0063686D">
        <w:rPr>
          <w:rFonts w:cs="Arial"/>
          <w:sz w:val="22"/>
          <w:szCs w:val="22"/>
        </w:rPr>
        <w:t>um Kinder und J</w:t>
      </w:r>
      <w:r w:rsidRPr="0063686D">
        <w:rPr>
          <w:rFonts w:cs="Arial"/>
          <w:sz w:val="22"/>
          <w:szCs w:val="22"/>
        </w:rPr>
        <w:t>u</w:t>
      </w:r>
      <w:r w:rsidRPr="0063686D">
        <w:rPr>
          <w:rFonts w:cs="Arial"/>
          <w:sz w:val="22"/>
          <w:szCs w:val="22"/>
        </w:rPr>
        <w:t>gendliche nicht von den Angeboten auszuschließen</w:t>
      </w:r>
      <w:r w:rsidR="00FD0C6A" w:rsidRPr="0063686D">
        <w:rPr>
          <w:rFonts w:cs="Arial"/>
          <w:sz w:val="22"/>
          <w:szCs w:val="22"/>
        </w:rPr>
        <w:t>. Ansonsten entst</w:t>
      </w:r>
      <w:r w:rsidR="00F81D8B" w:rsidRPr="0063686D">
        <w:rPr>
          <w:rFonts w:cs="Arial"/>
          <w:sz w:val="22"/>
          <w:szCs w:val="22"/>
        </w:rPr>
        <w:t>ehen</w:t>
      </w:r>
      <w:r w:rsidR="00FD0C6A" w:rsidRPr="0063686D">
        <w:rPr>
          <w:rFonts w:cs="Arial"/>
          <w:sz w:val="22"/>
          <w:szCs w:val="22"/>
        </w:rPr>
        <w:t xml:space="preserve"> Nachteile</w:t>
      </w:r>
      <w:r w:rsidR="00F81D8B" w:rsidRPr="0063686D">
        <w:rPr>
          <w:rFonts w:cs="Arial"/>
          <w:sz w:val="22"/>
          <w:szCs w:val="22"/>
        </w:rPr>
        <w:t>, wie</w:t>
      </w:r>
      <w:r w:rsidR="00FD0C6A" w:rsidRPr="0063686D">
        <w:rPr>
          <w:rFonts w:cs="Arial"/>
          <w:sz w:val="22"/>
          <w:szCs w:val="22"/>
        </w:rPr>
        <w:t xml:space="preserve"> z.B. durch Mahnungen </w:t>
      </w:r>
      <w:r w:rsidR="007C6E5D" w:rsidRPr="0063686D">
        <w:rPr>
          <w:rFonts w:cs="Arial"/>
          <w:sz w:val="22"/>
          <w:szCs w:val="22"/>
        </w:rPr>
        <w:t>der</w:t>
      </w:r>
      <w:r w:rsidR="00FD0C6A" w:rsidRPr="0063686D">
        <w:rPr>
          <w:rFonts w:cs="Arial"/>
          <w:sz w:val="22"/>
          <w:szCs w:val="22"/>
        </w:rPr>
        <w:t xml:space="preserve"> Verkehrsbetriebe wegen Nichtzahlung des </w:t>
      </w:r>
      <w:proofErr w:type="spellStart"/>
      <w:r w:rsidR="00FD0C6A" w:rsidRPr="0063686D">
        <w:rPr>
          <w:rFonts w:cs="Arial"/>
          <w:sz w:val="22"/>
          <w:szCs w:val="22"/>
        </w:rPr>
        <w:t>ScoolAbos</w:t>
      </w:r>
      <w:proofErr w:type="spellEnd"/>
      <w:r w:rsidR="00FD0C6A" w:rsidRPr="0063686D">
        <w:rPr>
          <w:rFonts w:cs="Arial"/>
          <w:sz w:val="22"/>
          <w:szCs w:val="22"/>
        </w:rPr>
        <w:t xml:space="preserve"> oder die Unmö</w:t>
      </w:r>
      <w:r w:rsidR="00FD0C6A" w:rsidRPr="0063686D">
        <w:rPr>
          <w:rFonts w:cs="Arial"/>
          <w:sz w:val="22"/>
          <w:szCs w:val="22"/>
        </w:rPr>
        <w:t>g</w:t>
      </w:r>
      <w:r w:rsidR="00FD0C6A" w:rsidRPr="0063686D">
        <w:rPr>
          <w:rFonts w:cs="Arial"/>
          <w:sz w:val="22"/>
          <w:szCs w:val="22"/>
        </w:rPr>
        <w:t>lichkeit der Teilnahme an Klassenfahrt</w:t>
      </w:r>
      <w:r w:rsidR="00E962C6">
        <w:rPr>
          <w:rFonts w:cs="Arial"/>
          <w:sz w:val="22"/>
          <w:szCs w:val="22"/>
        </w:rPr>
        <w:t>en</w:t>
      </w:r>
      <w:r w:rsidR="00FD0C6A" w:rsidRPr="0063686D">
        <w:rPr>
          <w:rFonts w:cs="Arial"/>
          <w:sz w:val="22"/>
          <w:szCs w:val="22"/>
        </w:rPr>
        <w:t>.</w:t>
      </w:r>
    </w:p>
    <w:p w:rsidR="00B405BF" w:rsidRPr="0063686D" w:rsidRDefault="00B405BF" w:rsidP="0004354A">
      <w:pPr>
        <w:rPr>
          <w:rFonts w:cs="Arial"/>
          <w:sz w:val="22"/>
          <w:szCs w:val="22"/>
        </w:rPr>
      </w:pPr>
    </w:p>
    <w:p w:rsidR="00441E43" w:rsidRDefault="0034248A" w:rsidP="0004354A">
      <w:pPr>
        <w:rPr>
          <w:rFonts w:cs="Arial"/>
        </w:rPr>
      </w:pPr>
      <w:r w:rsidRPr="0063686D">
        <w:rPr>
          <w:rFonts w:cs="Arial"/>
          <w:sz w:val="22"/>
          <w:szCs w:val="22"/>
        </w:rPr>
        <w:t xml:space="preserve">Aufgrund der deutlich gestiegenen </w:t>
      </w:r>
      <w:r w:rsidR="00CE2416" w:rsidRPr="0063686D">
        <w:rPr>
          <w:rFonts w:cs="Arial"/>
          <w:sz w:val="22"/>
          <w:szCs w:val="22"/>
        </w:rPr>
        <w:t xml:space="preserve">(und weiter steigenden) </w:t>
      </w:r>
      <w:r w:rsidRPr="0063686D">
        <w:rPr>
          <w:rFonts w:cs="Arial"/>
          <w:sz w:val="22"/>
          <w:szCs w:val="22"/>
        </w:rPr>
        <w:t xml:space="preserve">Antragszahlen </w:t>
      </w:r>
      <w:r w:rsidR="00B405BF" w:rsidRPr="0063686D">
        <w:rPr>
          <w:rFonts w:cs="Arial"/>
          <w:sz w:val="22"/>
          <w:szCs w:val="22"/>
        </w:rPr>
        <w:t>ist die Streichung der KW-Vermerke bei den</w:t>
      </w:r>
      <w:r w:rsidRPr="0063686D">
        <w:rPr>
          <w:rFonts w:cs="Arial"/>
          <w:sz w:val="22"/>
          <w:szCs w:val="22"/>
        </w:rPr>
        <w:t xml:space="preserve"> beiden Sachbearbeitenden</w:t>
      </w:r>
      <w:r w:rsidR="00B405BF" w:rsidRPr="0063686D">
        <w:rPr>
          <w:rFonts w:cs="Arial"/>
          <w:sz w:val="22"/>
          <w:szCs w:val="22"/>
        </w:rPr>
        <w:t>-Stellen</w:t>
      </w:r>
      <w:r w:rsidR="00614054">
        <w:rPr>
          <w:rFonts w:cs="Arial"/>
          <w:sz w:val="22"/>
          <w:szCs w:val="22"/>
        </w:rPr>
        <w:t xml:space="preserve"> in Verbindung mit der Schaffung der beiden Stellen in der Qualifizierten Information</w:t>
      </w:r>
      <w:r w:rsidR="00B405BF" w:rsidRPr="0063686D">
        <w:rPr>
          <w:rFonts w:cs="Arial"/>
          <w:sz w:val="22"/>
          <w:szCs w:val="22"/>
        </w:rPr>
        <w:t xml:space="preserve"> daher </w:t>
      </w:r>
      <w:r w:rsidRPr="0063686D">
        <w:rPr>
          <w:rFonts w:cs="Arial"/>
          <w:sz w:val="22"/>
          <w:szCs w:val="22"/>
        </w:rPr>
        <w:t>zwingend erforderlich</w:t>
      </w:r>
      <w:r w:rsidR="00B405BF" w:rsidRPr="0063686D">
        <w:rPr>
          <w:rFonts w:cs="Arial"/>
          <w:sz w:val="22"/>
          <w:szCs w:val="22"/>
        </w:rPr>
        <w:t>. Nur so kann</w:t>
      </w:r>
      <w:r w:rsidR="00FD0C6A" w:rsidRPr="0063686D">
        <w:rPr>
          <w:rFonts w:cs="Arial"/>
          <w:sz w:val="22"/>
          <w:szCs w:val="22"/>
        </w:rPr>
        <w:t xml:space="preserve"> </w:t>
      </w:r>
      <w:r w:rsidR="007C6E5D" w:rsidRPr="0063686D">
        <w:rPr>
          <w:rFonts w:cs="Arial"/>
          <w:sz w:val="22"/>
          <w:szCs w:val="22"/>
        </w:rPr>
        <w:t>de</w:t>
      </w:r>
      <w:r w:rsidR="00B405BF" w:rsidRPr="0063686D">
        <w:rPr>
          <w:rFonts w:cs="Arial"/>
          <w:sz w:val="22"/>
          <w:szCs w:val="22"/>
        </w:rPr>
        <w:t>r</w:t>
      </w:r>
      <w:r w:rsidR="007C6E5D" w:rsidRPr="0063686D">
        <w:rPr>
          <w:rFonts w:cs="Arial"/>
          <w:sz w:val="22"/>
          <w:szCs w:val="22"/>
        </w:rPr>
        <w:t xml:space="preserve"> Rechtsanspruch auf BuT-Leistungen </w:t>
      </w:r>
      <w:r w:rsidR="00B405BF" w:rsidRPr="0063686D">
        <w:rPr>
          <w:rFonts w:cs="Arial"/>
          <w:sz w:val="22"/>
          <w:szCs w:val="22"/>
        </w:rPr>
        <w:t xml:space="preserve">garantiert </w:t>
      </w:r>
      <w:r w:rsidR="007C6E5D" w:rsidRPr="0063686D">
        <w:rPr>
          <w:rFonts w:cs="Arial"/>
          <w:sz w:val="22"/>
          <w:szCs w:val="22"/>
        </w:rPr>
        <w:t xml:space="preserve">und </w:t>
      </w:r>
      <w:r w:rsidR="00B405BF" w:rsidRPr="0063686D">
        <w:rPr>
          <w:rFonts w:cs="Arial"/>
          <w:sz w:val="22"/>
          <w:szCs w:val="22"/>
        </w:rPr>
        <w:t>die</w:t>
      </w:r>
      <w:r w:rsidR="007C6E5D" w:rsidRPr="0063686D">
        <w:rPr>
          <w:rFonts w:cs="Arial"/>
          <w:sz w:val="22"/>
          <w:szCs w:val="22"/>
        </w:rPr>
        <w:t xml:space="preserve"> </w:t>
      </w:r>
      <w:r w:rsidR="00FD0C6A" w:rsidRPr="0063686D">
        <w:rPr>
          <w:rFonts w:cs="Arial"/>
          <w:sz w:val="22"/>
          <w:szCs w:val="22"/>
        </w:rPr>
        <w:t>hohe Akzeptanz</w:t>
      </w:r>
      <w:r w:rsidR="00B405BF" w:rsidRPr="0063686D">
        <w:rPr>
          <w:rFonts w:cs="Arial"/>
          <w:sz w:val="22"/>
          <w:szCs w:val="22"/>
        </w:rPr>
        <w:t xml:space="preserve"> der BuT-Leistungen </w:t>
      </w:r>
      <w:r w:rsidR="00FD0C6A" w:rsidRPr="0063686D">
        <w:rPr>
          <w:rFonts w:cs="Arial"/>
          <w:sz w:val="22"/>
          <w:szCs w:val="22"/>
        </w:rPr>
        <w:t>in Stutt</w:t>
      </w:r>
      <w:r w:rsidR="00FD0C6A" w:rsidRPr="00B405BF">
        <w:rPr>
          <w:rFonts w:cs="Arial"/>
        </w:rPr>
        <w:t xml:space="preserve">gart </w:t>
      </w:r>
      <w:r w:rsidR="00245387">
        <w:rPr>
          <w:rFonts w:cs="Arial"/>
        </w:rPr>
        <w:t>erhalten</w:t>
      </w:r>
      <w:r w:rsidRPr="00B405BF">
        <w:rPr>
          <w:rFonts w:cs="Arial"/>
        </w:rPr>
        <w:t xml:space="preserve"> werden.</w:t>
      </w:r>
    </w:p>
    <w:sectPr w:rsidR="00441E43" w:rsidSect="00B95940">
      <w:headerReference w:type="default" r:id="rId7"/>
      <w:pgSz w:w="11907" w:h="16840" w:code="9"/>
      <w:pgMar w:top="1276" w:right="1134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53" w:rsidRDefault="00721A53">
      <w:r>
        <w:separator/>
      </w:r>
    </w:p>
  </w:endnote>
  <w:endnote w:type="continuationSeparator" w:id="0">
    <w:p w:rsidR="00721A53" w:rsidRDefault="00721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53" w:rsidRDefault="00721A53">
      <w:r>
        <w:separator/>
      </w:r>
    </w:p>
  </w:footnote>
  <w:footnote w:type="continuationSeparator" w:id="0">
    <w:p w:rsidR="00721A53" w:rsidRDefault="00721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53" w:rsidRDefault="00721A53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E37BA3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E37BA3">
      <w:rPr>
        <w:rStyle w:val="Seitenzahl"/>
      </w:rPr>
      <w:fldChar w:fldCharType="separate"/>
    </w:r>
    <w:r w:rsidR="00417005">
      <w:rPr>
        <w:rStyle w:val="Seitenzahl"/>
        <w:noProof/>
      </w:rPr>
      <w:t>2</w:t>
    </w:r>
    <w:r w:rsidR="00E37BA3">
      <w:rPr>
        <w:rStyle w:val="Seitenzahl"/>
      </w:rPr>
      <w:fldChar w:fldCharType="end"/>
    </w:r>
    <w:r>
      <w:rPr>
        <w:rStyle w:val="Seitenzahl"/>
      </w:rPr>
      <w:t xml:space="preserve"> -</w:t>
    </w:r>
  </w:p>
  <w:p w:rsidR="00721A53" w:rsidRDefault="00721A5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26D81"/>
    <w:rsid w:val="0004354A"/>
    <w:rsid w:val="00072025"/>
    <w:rsid w:val="00094D11"/>
    <w:rsid w:val="000A1146"/>
    <w:rsid w:val="000F4510"/>
    <w:rsid w:val="00153F44"/>
    <w:rsid w:val="00165C0D"/>
    <w:rsid w:val="0017463B"/>
    <w:rsid w:val="00181578"/>
    <w:rsid w:val="00181857"/>
    <w:rsid w:val="00193881"/>
    <w:rsid w:val="00193A16"/>
    <w:rsid w:val="001E0B68"/>
    <w:rsid w:val="00213C7A"/>
    <w:rsid w:val="0021591C"/>
    <w:rsid w:val="002215AE"/>
    <w:rsid w:val="00245387"/>
    <w:rsid w:val="00262932"/>
    <w:rsid w:val="002812E4"/>
    <w:rsid w:val="002924CB"/>
    <w:rsid w:val="002B3233"/>
    <w:rsid w:val="002C2ECA"/>
    <w:rsid w:val="002E14E4"/>
    <w:rsid w:val="002E442C"/>
    <w:rsid w:val="003105C9"/>
    <w:rsid w:val="00325C7F"/>
    <w:rsid w:val="0034248A"/>
    <w:rsid w:val="003B269D"/>
    <w:rsid w:val="003B4312"/>
    <w:rsid w:val="003D3467"/>
    <w:rsid w:val="003D7B0B"/>
    <w:rsid w:val="004054DF"/>
    <w:rsid w:val="00417005"/>
    <w:rsid w:val="00436B6D"/>
    <w:rsid w:val="00441E43"/>
    <w:rsid w:val="004B6796"/>
    <w:rsid w:val="004E6E25"/>
    <w:rsid w:val="004F1446"/>
    <w:rsid w:val="005246A6"/>
    <w:rsid w:val="00550534"/>
    <w:rsid w:val="00564210"/>
    <w:rsid w:val="0059346F"/>
    <w:rsid w:val="005B04A7"/>
    <w:rsid w:val="005B4AAA"/>
    <w:rsid w:val="005D7643"/>
    <w:rsid w:val="00614054"/>
    <w:rsid w:val="0063686D"/>
    <w:rsid w:val="006812C3"/>
    <w:rsid w:val="00694161"/>
    <w:rsid w:val="006A15B9"/>
    <w:rsid w:val="006A5015"/>
    <w:rsid w:val="006E0575"/>
    <w:rsid w:val="00712C8B"/>
    <w:rsid w:val="00721A53"/>
    <w:rsid w:val="00723653"/>
    <w:rsid w:val="00731A41"/>
    <w:rsid w:val="00747AD9"/>
    <w:rsid w:val="007901D4"/>
    <w:rsid w:val="007968E9"/>
    <w:rsid w:val="007A481E"/>
    <w:rsid w:val="007B57B1"/>
    <w:rsid w:val="007C6E5D"/>
    <w:rsid w:val="007C7F9B"/>
    <w:rsid w:val="007F4260"/>
    <w:rsid w:val="007F73B9"/>
    <w:rsid w:val="00805255"/>
    <w:rsid w:val="008279E8"/>
    <w:rsid w:val="008313CD"/>
    <w:rsid w:val="00884D6C"/>
    <w:rsid w:val="008C2FC5"/>
    <w:rsid w:val="008D799F"/>
    <w:rsid w:val="008F4B7E"/>
    <w:rsid w:val="00904511"/>
    <w:rsid w:val="009537C3"/>
    <w:rsid w:val="009646FE"/>
    <w:rsid w:val="009842A9"/>
    <w:rsid w:val="009E4D29"/>
    <w:rsid w:val="009F4CCE"/>
    <w:rsid w:val="00A15BE6"/>
    <w:rsid w:val="00A30895"/>
    <w:rsid w:val="00A34898"/>
    <w:rsid w:val="00A35EAA"/>
    <w:rsid w:val="00A509C5"/>
    <w:rsid w:val="00A63AEA"/>
    <w:rsid w:val="00A77F1E"/>
    <w:rsid w:val="00A833A7"/>
    <w:rsid w:val="00AA28C7"/>
    <w:rsid w:val="00AC7243"/>
    <w:rsid w:val="00AE10D7"/>
    <w:rsid w:val="00AE1274"/>
    <w:rsid w:val="00B04290"/>
    <w:rsid w:val="00B405BF"/>
    <w:rsid w:val="00B66C18"/>
    <w:rsid w:val="00B7256C"/>
    <w:rsid w:val="00B76A17"/>
    <w:rsid w:val="00B80DEF"/>
    <w:rsid w:val="00B95940"/>
    <w:rsid w:val="00BE57CC"/>
    <w:rsid w:val="00BF7DB6"/>
    <w:rsid w:val="00C074C7"/>
    <w:rsid w:val="00C417F4"/>
    <w:rsid w:val="00C448D3"/>
    <w:rsid w:val="00C61C83"/>
    <w:rsid w:val="00C91E57"/>
    <w:rsid w:val="00CB2EB6"/>
    <w:rsid w:val="00CC6339"/>
    <w:rsid w:val="00CE2416"/>
    <w:rsid w:val="00CE6A71"/>
    <w:rsid w:val="00CF6D17"/>
    <w:rsid w:val="00D24277"/>
    <w:rsid w:val="00D254B1"/>
    <w:rsid w:val="00D25AC8"/>
    <w:rsid w:val="00D46290"/>
    <w:rsid w:val="00D80D8A"/>
    <w:rsid w:val="00D85EA0"/>
    <w:rsid w:val="00DF7A34"/>
    <w:rsid w:val="00E1162F"/>
    <w:rsid w:val="00E11D5F"/>
    <w:rsid w:val="00E12F9C"/>
    <w:rsid w:val="00E37BA3"/>
    <w:rsid w:val="00E44FCF"/>
    <w:rsid w:val="00E543DF"/>
    <w:rsid w:val="00E703E6"/>
    <w:rsid w:val="00E962C6"/>
    <w:rsid w:val="00EC5190"/>
    <w:rsid w:val="00EC78CB"/>
    <w:rsid w:val="00ED1D9B"/>
    <w:rsid w:val="00EF3CE3"/>
    <w:rsid w:val="00EF4BCB"/>
    <w:rsid w:val="00F24789"/>
    <w:rsid w:val="00F27657"/>
    <w:rsid w:val="00F3775A"/>
    <w:rsid w:val="00F81D8B"/>
    <w:rsid w:val="00FD0C6A"/>
    <w:rsid w:val="00FD2D66"/>
    <w:rsid w:val="00FE4615"/>
    <w:rsid w:val="00FF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2812E4"/>
    <w:pPr>
      <w:keepNext/>
      <w:spacing w:before="480"/>
      <w:ind w:left="284" w:hanging="284"/>
      <w:outlineLvl w:val="0"/>
    </w:pPr>
    <w:rPr>
      <w:b/>
      <w:kern w:val="24"/>
      <w:u w:val="single"/>
    </w:rPr>
  </w:style>
  <w:style w:type="paragraph" w:styleId="berschrift2">
    <w:name w:val="heading 2"/>
    <w:basedOn w:val="Standard"/>
    <w:next w:val="Standard"/>
    <w:qFormat/>
    <w:rsid w:val="002812E4"/>
    <w:pPr>
      <w:keepNext/>
      <w:spacing w:before="240"/>
      <w:ind w:left="482" w:hanging="482"/>
      <w:outlineLvl w:val="1"/>
    </w:pPr>
    <w:rPr>
      <w:b/>
      <w:kern w:val="24"/>
    </w:rPr>
  </w:style>
  <w:style w:type="paragraph" w:styleId="berschrift3">
    <w:name w:val="heading 3"/>
    <w:basedOn w:val="Standard"/>
    <w:next w:val="Standard"/>
    <w:qFormat/>
    <w:rsid w:val="00EC5190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EC5190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EC5190"/>
    <w:rPr>
      <w:sz w:val="16"/>
    </w:rPr>
  </w:style>
  <w:style w:type="paragraph" w:styleId="Kommentartext">
    <w:name w:val="annotation text"/>
    <w:basedOn w:val="Standard"/>
    <w:semiHidden/>
    <w:rsid w:val="00EC5190"/>
    <w:rPr>
      <w:sz w:val="20"/>
    </w:rPr>
  </w:style>
  <w:style w:type="paragraph" w:styleId="Fuzeile">
    <w:name w:val="footer"/>
    <w:basedOn w:val="Standard"/>
    <w:rsid w:val="00EC5190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EC5190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C91E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0D8A"/>
    <w:pPr>
      <w:ind w:left="708"/>
      <w:jc w:val="both"/>
    </w:pPr>
    <w:rPr>
      <w:sz w:val="20"/>
      <w:u w:val="single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table" w:styleId="Tabellengitternetz">
    <w:name w:val="Table Grid"/>
    <w:basedOn w:val="NormaleTabelle"/>
    <w:uiPriority w:val="59"/>
    <w:rsid w:val="0004354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Verlängerung eines Stellenvermerks zum Stellenplan</vt:lpstr>
    </vt:vector>
  </TitlesOfParts>
  <Company>LHS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Verlängerung eines Stellenvermerks zum Stellenplan</dc:title>
  <dc:subject>Musterformular für das Stellenplanverfahren 2012/2013</dc:subject>
  <dc:creator>10-3</dc:creator>
  <cp:keywords/>
  <dc:description/>
  <cp:lastModifiedBy>Cornelia Gaß-Hildebrand</cp:lastModifiedBy>
  <cp:revision>2</cp:revision>
  <cp:lastPrinted>2016-11-23T10:58:00Z</cp:lastPrinted>
  <dcterms:created xsi:type="dcterms:W3CDTF">2016-12-07T11:10:00Z</dcterms:created>
  <dcterms:modified xsi:type="dcterms:W3CDTF">2016-12-07T11:10:00Z</dcterms:modified>
</cp:coreProperties>
</file>