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0B" w:rsidRPr="00562418" w:rsidRDefault="003D7B0B" w:rsidP="006E0575">
      <w:pPr>
        <w:tabs>
          <w:tab w:val="left" w:pos="5812"/>
        </w:tabs>
        <w:jc w:val="right"/>
        <w:rPr>
          <w:szCs w:val="24"/>
        </w:rPr>
      </w:pPr>
      <w:r w:rsidRPr="00562418">
        <w:rPr>
          <w:szCs w:val="24"/>
        </w:rPr>
        <w:t xml:space="preserve">Anlage </w:t>
      </w:r>
      <w:r w:rsidR="0053750A">
        <w:rPr>
          <w:color w:val="000000" w:themeColor="text1"/>
          <w:szCs w:val="24"/>
        </w:rPr>
        <w:t>6</w:t>
      </w:r>
      <w:r w:rsidRPr="006D7BEF">
        <w:rPr>
          <w:color w:val="000000" w:themeColor="text1"/>
          <w:szCs w:val="24"/>
        </w:rPr>
        <w:t xml:space="preserve"> </w:t>
      </w:r>
      <w:r w:rsidRPr="00562418">
        <w:rPr>
          <w:szCs w:val="24"/>
        </w:rPr>
        <w:t xml:space="preserve">zur </w:t>
      </w:r>
      <w:proofErr w:type="spellStart"/>
      <w:r w:rsidRPr="00562418">
        <w:rPr>
          <w:szCs w:val="24"/>
        </w:rPr>
        <w:t>GRDrs</w:t>
      </w:r>
      <w:proofErr w:type="spellEnd"/>
      <w:r w:rsidR="009D4881">
        <w:rPr>
          <w:szCs w:val="24"/>
        </w:rPr>
        <w:t>.</w:t>
      </w:r>
      <w:r w:rsidRPr="00562418">
        <w:rPr>
          <w:szCs w:val="24"/>
        </w:rPr>
        <w:t xml:space="preserve"> </w:t>
      </w:r>
      <w:r w:rsidR="002E3A16">
        <w:rPr>
          <w:szCs w:val="24"/>
        </w:rPr>
        <w:t>817</w:t>
      </w:r>
      <w:r w:rsidR="00FF2223">
        <w:rPr>
          <w:szCs w:val="24"/>
        </w:rPr>
        <w:t>/201</w:t>
      </w:r>
      <w:r w:rsidR="006C4419">
        <w:rPr>
          <w:szCs w:val="24"/>
        </w:rPr>
        <w:t>6</w:t>
      </w:r>
    </w:p>
    <w:p w:rsidR="003D7B0B" w:rsidRDefault="003D7B0B" w:rsidP="006E0575"/>
    <w:p w:rsidR="009C0592" w:rsidRDefault="009C0592" w:rsidP="006E0575"/>
    <w:p w:rsidR="009C0592" w:rsidRPr="00562418" w:rsidRDefault="009C0592" w:rsidP="006E0575"/>
    <w:p w:rsidR="00566356" w:rsidRPr="008D2396" w:rsidRDefault="00566356" w:rsidP="00566356">
      <w:pPr>
        <w:tabs>
          <w:tab w:val="left" w:pos="6521"/>
        </w:tabs>
        <w:jc w:val="center"/>
        <w:rPr>
          <w:b/>
          <w:sz w:val="36"/>
          <w:u w:val="single"/>
        </w:rPr>
      </w:pPr>
      <w:r w:rsidRPr="008D2396">
        <w:rPr>
          <w:b/>
          <w:sz w:val="36"/>
          <w:u w:val="single"/>
        </w:rPr>
        <w:t>Stellenschaffung</w:t>
      </w:r>
    </w:p>
    <w:p w:rsidR="00566356" w:rsidRDefault="006D7BEF" w:rsidP="00566356">
      <w:pPr>
        <w:tabs>
          <w:tab w:val="left" w:pos="6521"/>
        </w:tabs>
        <w:jc w:val="center"/>
        <w:rPr>
          <w:b/>
          <w:sz w:val="36"/>
          <w:u w:val="single"/>
        </w:rPr>
      </w:pPr>
      <w:r>
        <w:rPr>
          <w:b/>
          <w:sz w:val="36"/>
        </w:rPr>
        <w:t>i</w:t>
      </w:r>
      <w:r w:rsidR="00566356">
        <w:rPr>
          <w:b/>
          <w:sz w:val="36"/>
        </w:rPr>
        <w:t>m Vorgriff auf den Stellenplan 2018</w:t>
      </w:r>
    </w:p>
    <w:p w:rsidR="003D7B0B" w:rsidRPr="00562418" w:rsidRDefault="003D7B0B" w:rsidP="006E0575"/>
    <w:p w:rsidR="003D7B0B" w:rsidRPr="00562418"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5F5B3D" w:rsidRPr="00562418" w:rsidTr="005F5B3D">
        <w:trPr>
          <w:tblHeader/>
        </w:trPr>
        <w:tc>
          <w:tcPr>
            <w:tcW w:w="1814" w:type="dxa"/>
            <w:shd w:val="pct12" w:color="auto" w:fill="FFFFFF"/>
            <w:vAlign w:val="center"/>
          </w:tcPr>
          <w:p w:rsidR="005F5B3D" w:rsidRPr="00562418" w:rsidRDefault="005F5B3D" w:rsidP="009C0592">
            <w:pPr>
              <w:spacing w:before="60" w:after="60" w:line="200" w:lineRule="exact"/>
              <w:ind w:left="-85" w:right="-85"/>
              <w:jc w:val="center"/>
              <w:rPr>
                <w:sz w:val="16"/>
                <w:szCs w:val="16"/>
              </w:rPr>
            </w:pPr>
            <w:r w:rsidRPr="00562418">
              <w:rPr>
                <w:sz w:val="16"/>
                <w:szCs w:val="16"/>
              </w:rPr>
              <w:t>Org.-Einheit</w:t>
            </w:r>
            <w:r w:rsidRPr="00562418">
              <w:rPr>
                <w:sz w:val="16"/>
                <w:szCs w:val="16"/>
              </w:rPr>
              <w:br/>
              <w:t xml:space="preserve">(aut. </w:t>
            </w:r>
            <w:proofErr w:type="spellStart"/>
            <w:r w:rsidRPr="00562418">
              <w:rPr>
                <w:sz w:val="16"/>
                <w:szCs w:val="16"/>
              </w:rPr>
              <w:t>Stpl</w:t>
            </w:r>
            <w:proofErr w:type="spellEnd"/>
            <w:r w:rsidRPr="00562418">
              <w:rPr>
                <w:sz w:val="16"/>
                <w:szCs w:val="16"/>
              </w:rPr>
              <w:t>.)</w:t>
            </w:r>
            <w:r w:rsidR="00380937" w:rsidRPr="00562418">
              <w:rPr>
                <w:sz w:val="16"/>
                <w:szCs w:val="16"/>
              </w:rPr>
              <w:t>,</w:t>
            </w:r>
            <w:r w:rsidRPr="00562418">
              <w:rPr>
                <w:sz w:val="16"/>
                <w:szCs w:val="16"/>
              </w:rPr>
              <w:br/>
            </w:r>
          </w:p>
        </w:tc>
        <w:tc>
          <w:tcPr>
            <w:tcW w:w="1701"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Amt</w:t>
            </w:r>
          </w:p>
        </w:tc>
        <w:tc>
          <w:tcPr>
            <w:tcW w:w="79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wert</w:t>
            </w:r>
            <w:r w:rsidRPr="00562418">
              <w:rPr>
                <w:sz w:val="16"/>
                <w:szCs w:val="16"/>
              </w:rPr>
              <w:br/>
              <w:t>Haushalt</w:t>
            </w:r>
          </w:p>
        </w:tc>
        <w:tc>
          <w:tcPr>
            <w:tcW w:w="1928"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Funktionsbezeichnung</w:t>
            </w:r>
          </w:p>
        </w:tc>
        <w:tc>
          <w:tcPr>
            <w:tcW w:w="737"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Anzahl</w:t>
            </w:r>
            <w:r w:rsidRPr="00562418">
              <w:rPr>
                <w:sz w:val="16"/>
                <w:szCs w:val="16"/>
              </w:rPr>
              <w:br/>
              <w:t>der</w:t>
            </w:r>
            <w:r w:rsidRPr="00562418">
              <w:rPr>
                <w:sz w:val="16"/>
                <w:szCs w:val="16"/>
              </w:rPr>
              <w:br/>
              <w:t>Stellen</w:t>
            </w:r>
          </w:p>
        </w:tc>
        <w:tc>
          <w:tcPr>
            <w:tcW w:w="113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vermerk</w:t>
            </w:r>
          </w:p>
        </w:tc>
        <w:tc>
          <w:tcPr>
            <w:tcW w:w="1417" w:type="dxa"/>
            <w:shd w:val="pct12" w:color="auto" w:fill="FFFFFF"/>
            <w:vAlign w:val="center"/>
          </w:tcPr>
          <w:p w:rsidR="005F5B3D" w:rsidRPr="00562418" w:rsidRDefault="005F5B3D" w:rsidP="009C0592">
            <w:pPr>
              <w:spacing w:before="60" w:after="60" w:line="200" w:lineRule="exact"/>
              <w:ind w:left="-85" w:right="-85"/>
              <w:jc w:val="center"/>
              <w:rPr>
                <w:sz w:val="16"/>
                <w:szCs w:val="16"/>
              </w:rPr>
            </w:pPr>
            <w:proofErr w:type="spellStart"/>
            <w:r w:rsidRPr="00562418">
              <w:rPr>
                <w:sz w:val="16"/>
                <w:szCs w:val="16"/>
              </w:rPr>
              <w:t>durchschnittl</w:t>
            </w:r>
            <w:proofErr w:type="spellEnd"/>
            <w:r w:rsidRPr="00562418">
              <w:rPr>
                <w:sz w:val="16"/>
                <w:szCs w:val="16"/>
              </w:rPr>
              <w:t>.</w:t>
            </w:r>
            <w:r w:rsidRPr="00562418">
              <w:rPr>
                <w:sz w:val="16"/>
                <w:szCs w:val="16"/>
              </w:rPr>
              <w:br/>
            </w:r>
            <w:proofErr w:type="spellStart"/>
            <w:r w:rsidRPr="00562418">
              <w:rPr>
                <w:sz w:val="16"/>
                <w:szCs w:val="16"/>
              </w:rPr>
              <w:t>jährl</w:t>
            </w:r>
            <w:proofErr w:type="spellEnd"/>
            <w:r w:rsidRPr="00562418">
              <w:rPr>
                <w:sz w:val="16"/>
                <w:szCs w:val="16"/>
              </w:rPr>
              <w:t>. kosten-</w:t>
            </w:r>
            <w:r w:rsidRPr="00562418">
              <w:rPr>
                <w:sz w:val="16"/>
                <w:szCs w:val="16"/>
              </w:rPr>
              <w:br/>
              <w:t>wirksamer</w:t>
            </w:r>
            <w:r w:rsidRPr="00562418">
              <w:rPr>
                <w:sz w:val="16"/>
                <w:szCs w:val="16"/>
              </w:rPr>
              <w:br/>
              <w:t>Aufwand</w:t>
            </w:r>
            <w:r w:rsidRPr="00562418">
              <w:rPr>
                <w:sz w:val="16"/>
                <w:szCs w:val="16"/>
              </w:rPr>
              <w:br/>
            </w:r>
            <w:r w:rsidR="009C0592">
              <w:rPr>
                <w:sz w:val="16"/>
                <w:szCs w:val="16"/>
              </w:rPr>
              <w:t>€</w:t>
            </w:r>
          </w:p>
        </w:tc>
      </w:tr>
      <w:tr w:rsidR="005F5B3D" w:rsidRPr="00562418" w:rsidTr="005F5B3D">
        <w:tc>
          <w:tcPr>
            <w:tcW w:w="1814" w:type="dxa"/>
          </w:tcPr>
          <w:p w:rsidR="005F5B3D" w:rsidRPr="00562418" w:rsidRDefault="005F5B3D" w:rsidP="006E0575">
            <w:pPr>
              <w:rPr>
                <w:sz w:val="20"/>
              </w:rPr>
            </w:pPr>
          </w:p>
          <w:p w:rsidR="002E3A16" w:rsidRDefault="002E3A16" w:rsidP="006E0575">
            <w:pPr>
              <w:rPr>
                <w:sz w:val="20"/>
              </w:rPr>
            </w:pPr>
            <w:r>
              <w:rPr>
                <w:sz w:val="20"/>
              </w:rPr>
              <w:t>29-1</w:t>
            </w:r>
          </w:p>
          <w:p w:rsidR="002E3A16" w:rsidRDefault="002E3A16" w:rsidP="006E0575">
            <w:pPr>
              <w:rPr>
                <w:sz w:val="20"/>
              </w:rPr>
            </w:pPr>
          </w:p>
          <w:p w:rsidR="005F5B3D" w:rsidRPr="00562418" w:rsidRDefault="009C0592" w:rsidP="006E0575">
            <w:pPr>
              <w:rPr>
                <w:sz w:val="20"/>
              </w:rPr>
            </w:pPr>
            <w:r>
              <w:rPr>
                <w:sz w:val="20"/>
              </w:rPr>
              <w:t xml:space="preserve">290 </w:t>
            </w:r>
            <w:r w:rsidR="00E42E24">
              <w:rPr>
                <w:sz w:val="20"/>
              </w:rPr>
              <w:t>0100</w:t>
            </w:r>
          </w:p>
          <w:p w:rsidR="0011112B" w:rsidRPr="00562418" w:rsidRDefault="0011112B" w:rsidP="006E0575">
            <w:pPr>
              <w:rPr>
                <w:sz w:val="20"/>
              </w:rPr>
            </w:pPr>
          </w:p>
          <w:p w:rsidR="0011112B" w:rsidRPr="00562418" w:rsidRDefault="009C0592" w:rsidP="006E0575">
            <w:pPr>
              <w:rPr>
                <w:sz w:val="20"/>
              </w:rPr>
            </w:pPr>
            <w:r>
              <w:rPr>
                <w:sz w:val="20"/>
              </w:rPr>
              <w:t>29</w:t>
            </w:r>
            <w:r w:rsidR="00E42E24">
              <w:rPr>
                <w:sz w:val="20"/>
              </w:rPr>
              <w:t>1</w:t>
            </w:r>
            <w:r>
              <w:rPr>
                <w:sz w:val="20"/>
              </w:rPr>
              <w:t>0</w:t>
            </w:r>
            <w:r w:rsidR="00E42E24">
              <w:rPr>
                <w:sz w:val="20"/>
              </w:rPr>
              <w:t>1010</w:t>
            </w:r>
          </w:p>
          <w:p w:rsidR="005F5B3D" w:rsidRPr="00562418" w:rsidRDefault="005F5B3D" w:rsidP="006E0575">
            <w:pPr>
              <w:rPr>
                <w:sz w:val="20"/>
              </w:rPr>
            </w:pPr>
          </w:p>
        </w:tc>
        <w:tc>
          <w:tcPr>
            <w:tcW w:w="1701" w:type="dxa"/>
          </w:tcPr>
          <w:p w:rsidR="005F5B3D" w:rsidRPr="00562418" w:rsidRDefault="005F5B3D" w:rsidP="006E0575">
            <w:pPr>
              <w:rPr>
                <w:sz w:val="20"/>
              </w:rPr>
            </w:pPr>
          </w:p>
          <w:p w:rsidR="00FD19DF" w:rsidRPr="00562418" w:rsidRDefault="00CD4DE7" w:rsidP="006E0575">
            <w:pPr>
              <w:rPr>
                <w:sz w:val="20"/>
              </w:rPr>
            </w:pPr>
            <w:r>
              <w:rPr>
                <w:sz w:val="20"/>
              </w:rPr>
              <w:t xml:space="preserve">29, </w:t>
            </w:r>
            <w:r w:rsidR="009C0592">
              <w:rPr>
                <w:sz w:val="20"/>
              </w:rPr>
              <w:t>Jobcenter</w:t>
            </w:r>
          </w:p>
        </w:tc>
        <w:tc>
          <w:tcPr>
            <w:tcW w:w="794" w:type="dxa"/>
          </w:tcPr>
          <w:p w:rsidR="005F5B3D" w:rsidRPr="00562418" w:rsidRDefault="005F5B3D" w:rsidP="001F7237">
            <w:pPr>
              <w:jc w:val="center"/>
              <w:rPr>
                <w:sz w:val="20"/>
              </w:rPr>
            </w:pPr>
          </w:p>
          <w:p w:rsidR="005F5B3D" w:rsidRDefault="009405FE" w:rsidP="001F7237">
            <w:pPr>
              <w:jc w:val="center"/>
              <w:rPr>
                <w:sz w:val="20"/>
              </w:rPr>
            </w:pPr>
            <w:r>
              <w:rPr>
                <w:sz w:val="20"/>
              </w:rPr>
              <w:t>E</w:t>
            </w:r>
            <w:r w:rsidR="006541E2">
              <w:rPr>
                <w:sz w:val="20"/>
              </w:rPr>
              <w:t xml:space="preserve">G </w:t>
            </w:r>
            <w:r w:rsidR="006541E2" w:rsidRPr="00182A6F">
              <w:rPr>
                <w:sz w:val="20"/>
              </w:rPr>
              <w:t>11</w:t>
            </w:r>
          </w:p>
          <w:p w:rsidR="00907780" w:rsidRDefault="00907780" w:rsidP="001F7237">
            <w:pPr>
              <w:jc w:val="center"/>
              <w:rPr>
                <w:sz w:val="20"/>
              </w:rPr>
            </w:pPr>
          </w:p>
          <w:p w:rsidR="00907780" w:rsidRPr="00562418" w:rsidRDefault="00907780" w:rsidP="001F7237">
            <w:pPr>
              <w:jc w:val="center"/>
              <w:rPr>
                <w:sz w:val="20"/>
              </w:rPr>
            </w:pPr>
          </w:p>
        </w:tc>
        <w:tc>
          <w:tcPr>
            <w:tcW w:w="1928" w:type="dxa"/>
          </w:tcPr>
          <w:p w:rsidR="005F5B3D" w:rsidRPr="00562418" w:rsidRDefault="005F5B3D" w:rsidP="006E0575">
            <w:pPr>
              <w:rPr>
                <w:sz w:val="20"/>
              </w:rPr>
            </w:pPr>
          </w:p>
          <w:p w:rsidR="00786EA1" w:rsidRDefault="004B13CC" w:rsidP="006E0575">
            <w:pPr>
              <w:rPr>
                <w:sz w:val="20"/>
              </w:rPr>
            </w:pPr>
            <w:r>
              <w:rPr>
                <w:sz w:val="20"/>
              </w:rPr>
              <w:t>Sachbearbeiter/</w:t>
            </w:r>
            <w:r w:rsidR="002E3A16">
              <w:rPr>
                <w:sz w:val="20"/>
              </w:rPr>
              <w:t>-</w:t>
            </w:r>
            <w:r>
              <w:rPr>
                <w:sz w:val="20"/>
              </w:rPr>
              <w:t>in</w:t>
            </w:r>
          </w:p>
          <w:p w:rsidR="00786EA1" w:rsidRDefault="00A90BD0" w:rsidP="006E0575">
            <w:pPr>
              <w:rPr>
                <w:sz w:val="20"/>
              </w:rPr>
            </w:pPr>
            <w:r>
              <w:rPr>
                <w:sz w:val="20"/>
              </w:rPr>
              <w:t>Forderungs-</w:t>
            </w:r>
            <w:proofErr w:type="spellStart"/>
            <w:r>
              <w:rPr>
                <w:sz w:val="20"/>
              </w:rPr>
              <w:t>management</w:t>
            </w:r>
            <w:proofErr w:type="spellEnd"/>
          </w:p>
          <w:p w:rsidR="00907780" w:rsidRDefault="00907780" w:rsidP="006E0575">
            <w:pPr>
              <w:rPr>
                <w:sz w:val="20"/>
              </w:rPr>
            </w:pPr>
          </w:p>
          <w:p w:rsidR="00907780" w:rsidRPr="00562418" w:rsidRDefault="00907780" w:rsidP="00FF25D9">
            <w:pPr>
              <w:rPr>
                <w:sz w:val="20"/>
              </w:rPr>
            </w:pPr>
          </w:p>
        </w:tc>
        <w:tc>
          <w:tcPr>
            <w:tcW w:w="737" w:type="dxa"/>
            <w:shd w:val="pct12" w:color="auto" w:fill="FFFFFF"/>
          </w:tcPr>
          <w:p w:rsidR="00556252" w:rsidRDefault="00556252" w:rsidP="001F7237">
            <w:pPr>
              <w:jc w:val="center"/>
              <w:rPr>
                <w:sz w:val="20"/>
              </w:rPr>
            </w:pPr>
          </w:p>
          <w:p w:rsidR="005F5B3D" w:rsidRPr="00A90BD0" w:rsidRDefault="00A90BD0" w:rsidP="001F7237">
            <w:pPr>
              <w:jc w:val="center"/>
              <w:rPr>
                <w:sz w:val="20"/>
              </w:rPr>
            </w:pPr>
            <w:r w:rsidRPr="00A90BD0">
              <w:rPr>
                <w:sz w:val="20"/>
              </w:rPr>
              <w:t>1,0</w:t>
            </w:r>
          </w:p>
          <w:p w:rsidR="00907780" w:rsidRPr="00562418" w:rsidRDefault="00907780" w:rsidP="00E42E24">
            <w:pPr>
              <w:jc w:val="center"/>
              <w:rPr>
                <w:sz w:val="20"/>
              </w:rPr>
            </w:pPr>
          </w:p>
        </w:tc>
        <w:tc>
          <w:tcPr>
            <w:tcW w:w="1134" w:type="dxa"/>
          </w:tcPr>
          <w:p w:rsidR="005F5B3D" w:rsidRPr="00562418" w:rsidRDefault="005F5B3D" w:rsidP="001F7237">
            <w:pPr>
              <w:jc w:val="center"/>
              <w:rPr>
                <w:sz w:val="20"/>
              </w:rPr>
            </w:pPr>
          </w:p>
          <w:p w:rsidR="00DF2D60" w:rsidRPr="00562418" w:rsidRDefault="0053750A" w:rsidP="00BC66E0">
            <w:pPr>
              <w:jc w:val="center"/>
              <w:rPr>
                <w:sz w:val="20"/>
              </w:rPr>
            </w:pPr>
            <w:r>
              <w:rPr>
                <w:sz w:val="20"/>
              </w:rPr>
              <w:t>KW 01/2020</w:t>
            </w:r>
          </w:p>
        </w:tc>
        <w:tc>
          <w:tcPr>
            <w:tcW w:w="1417" w:type="dxa"/>
          </w:tcPr>
          <w:p w:rsidR="005F5B3D" w:rsidRPr="00562418" w:rsidRDefault="005F5B3D" w:rsidP="001F7237">
            <w:pPr>
              <w:jc w:val="center"/>
              <w:rPr>
                <w:sz w:val="20"/>
              </w:rPr>
            </w:pPr>
          </w:p>
          <w:p w:rsidR="005F5B3D" w:rsidRPr="006D7BEF" w:rsidRDefault="006D7BEF" w:rsidP="001F7237">
            <w:pPr>
              <w:jc w:val="center"/>
              <w:rPr>
                <w:color w:val="000000" w:themeColor="text1"/>
                <w:sz w:val="20"/>
              </w:rPr>
            </w:pPr>
            <w:r w:rsidRPr="006D7BEF">
              <w:rPr>
                <w:color w:val="000000" w:themeColor="text1"/>
                <w:sz w:val="20"/>
              </w:rPr>
              <w:t>71.100</w:t>
            </w:r>
          </w:p>
          <w:p w:rsidR="006D7BEF" w:rsidRDefault="006D7BEF" w:rsidP="001F7237">
            <w:pPr>
              <w:jc w:val="center"/>
              <w:rPr>
                <w:color w:val="C00000"/>
                <w:sz w:val="20"/>
              </w:rPr>
            </w:pPr>
          </w:p>
          <w:p w:rsidR="006D7BEF" w:rsidRPr="006D7BEF" w:rsidRDefault="007650B7" w:rsidP="001F7237">
            <w:pPr>
              <w:jc w:val="center"/>
              <w:rPr>
                <w:color w:val="000000" w:themeColor="text1"/>
                <w:sz w:val="16"/>
                <w:szCs w:val="16"/>
              </w:rPr>
            </w:pPr>
            <w:r>
              <w:rPr>
                <w:color w:val="000000" w:themeColor="text1"/>
                <w:sz w:val="16"/>
                <w:szCs w:val="16"/>
              </w:rPr>
              <w:t xml:space="preserve">davon </w:t>
            </w:r>
            <w:r w:rsidR="006D7BEF" w:rsidRPr="006D7BEF">
              <w:rPr>
                <w:color w:val="000000" w:themeColor="text1"/>
                <w:sz w:val="16"/>
                <w:szCs w:val="16"/>
              </w:rPr>
              <w:t>50% operativ</w:t>
            </w:r>
            <w:r w:rsidR="006D7BEF">
              <w:rPr>
                <w:color w:val="000000" w:themeColor="text1"/>
                <w:sz w:val="16"/>
                <w:szCs w:val="16"/>
              </w:rPr>
              <w:t xml:space="preserve"> mit dem Bund abreche</w:t>
            </w:r>
            <w:r w:rsidR="006D7BEF">
              <w:rPr>
                <w:color w:val="000000" w:themeColor="text1"/>
                <w:sz w:val="16"/>
                <w:szCs w:val="16"/>
              </w:rPr>
              <w:t>n</w:t>
            </w:r>
            <w:r w:rsidR="006D7BEF">
              <w:rPr>
                <w:color w:val="000000" w:themeColor="text1"/>
                <w:sz w:val="16"/>
                <w:szCs w:val="16"/>
              </w:rPr>
              <w:t>bar</w:t>
            </w:r>
            <w:r>
              <w:rPr>
                <w:color w:val="000000" w:themeColor="text1"/>
                <w:sz w:val="16"/>
                <w:szCs w:val="16"/>
              </w:rPr>
              <w:t xml:space="preserve"> *</w:t>
            </w:r>
            <w:r w:rsidR="006D7BEF" w:rsidRPr="006D7BEF">
              <w:rPr>
                <w:color w:val="000000" w:themeColor="text1"/>
                <w:sz w:val="16"/>
                <w:szCs w:val="16"/>
              </w:rPr>
              <w:t>)</w:t>
            </w:r>
          </w:p>
        </w:tc>
      </w:tr>
    </w:tbl>
    <w:p w:rsidR="007650B7" w:rsidRPr="002C7B5F" w:rsidRDefault="007650B7" w:rsidP="007650B7">
      <w:pPr>
        <w:pStyle w:val="berschrift1"/>
        <w:spacing w:before="120"/>
        <w:rPr>
          <w:b w:val="0"/>
          <w:sz w:val="16"/>
          <w:szCs w:val="16"/>
          <w:u w:val="none"/>
        </w:rPr>
      </w:pPr>
      <w:r w:rsidRPr="002C7B5F">
        <w:rPr>
          <w:b w:val="0"/>
          <w:u w:val="none"/>
        </w:rPr>
        <w:t>*)</w:t>
      </w:r>
      <w:r>
        <w:rPr>
          <w:rFonts w:ascii="Helv" w:hAnsi="Helv" w:cs="Helv"/>
          <w:b w:val="0"/>
          <w:color w:val="000000"/>
          <w:sz w:val="20"/>
          <w:u w:val="none"/>
        </w:rPr>
        <w:t xml:space="preserve">  </w:t>
      </w:r>
      <w:r w:rsidRPr="002C7B5F">
        <w:rPr>
          <w:rFonts w:ascii="Helv" w:hAnsi="Helv" w:cs="Helv"/>
          <w:b w:val="0"/>
          <w:color w:val="000000"/>
          <w:sz w:val="16"/>
          <w:szCs w:val="16"/>
          <w:u w:val="none"/>
        </w:rPr>
        <w:t>Gemäß Kommunalträger-Abrechnungsverwaltungsvorschrift (</w:t>
      </w:r>
      <w:proofErr w:type="spellStart"/>
      <w:r w:rsidRPr="002C7B5F">
        <w:rPr>
          <w:rFonts w:ascii="Helv" w:hAnsi="Helv" w:cs="Helv"/>
          <w:b w:val="0"/>
          <w:color w:val="000000"/>
          <w:sz w:val="16"/>
          <w:szCs w:val="16"/>
          <w:u w:val="none"/>
        </w:rPr>
        <w:t>KoA</w:t>
      </w:r>
      <w:proofErr w:type="spellEnd"/>
      <w:r w:rsidRPr="002C7B5F">
        <w:rPr>
          <w:rFonts w:ascii="Helv" w:hAnsi="Helv" w:cs="Helv"/>
          <w:b w:val="0"/>
          <w:color w:val="000000"/>
          <w:sz w:val="16"/>
          <w:szCs w:val="16"/>
          <w:u w:val="none"/>
        </w:rPr>
        <w:t>-VV) erfolgt die Abrechnung der Personalkosten operativer Stellen mit dem Bund spitz, für die Personalneben-, Sach- und Gemeinkosten werden Pauschalen zugrunde gelegt. Der Anteil des Bundes an den Kosten beträgt 84,8 Prozent, der kommunale Finanzierungsanteil (KFA) beträgt 15,2 Prozent. Inklusive aller Pauschalen übersteigt die Erstattung des Bundes den kostenwirksamen Aufwand, der bei der LHS für die operative(n) Stelle(n) entsteht.</w:t>
      </w:r>
    </w:p>
    <w:p w:rsidR="003D7B0B" w:rsidRPr="00221DFF" w:rsidRDefault="006E0575" w:rsidP="00884D6C">
      <w:pPr>
        <w:pStyle w:val="berschrift1"/>
        <w:rPr>
          <w:rFonts w:cs="Arial"/>
          <w:sz w:val="22"/>
          <w:szCs w:val="22"/>
        </w:rPr>
      </w:pPr>
      <w:r w:rsidRPr="00221DFF">
        <w:rPr>
          <w:rFonts w:cs="Arial"/>
          <w:sz w:val="22"/>
          <w:szCs w:val="22"/>
        </w:rPr>
        <w:t>1</w:t>
      </w:r>
      <w:r w:rsidR="00503857" w:rsidRPr="00221DFF">
        <w:rPr>
          <w:rFonts w:cs="Arial"/>
          <w:sz w:val="22"/>
          <w:szCs w:val="22"/>
        </w:rPr>
        <w:t>.</w:t>
      </w:r>
      <w:r w:rsidR="00884D6C" w:rsidRPr="00221DFF">
        <w:rPr>
          <w:rFonts w:cs="Arial"/>
          <w:sz w:val="22"/>
          <w:szCs w:val="22"/>
        </w:rPr>
        <w:tab/>
      </w:r>
      <w:r w:rsidR="003D3EED" w:rsidRPr="00221DFF">
        <w:rPr>
          <w:rFonts w:cs="Arial"/>
          <w:sz w:val="22"/>
          <w:szCs w:val="22"/>
        </w:rPr>
        <w:t>Antrag, Stellenausstattung</w:t>
      </w:r>
    </w:p>
    <w:p w:rsidR="00E42E24" w:rsidRPr="00221DFF" w:rsidRDefault="00E42E24" w:rsidP="00E42E24">
      <w:pPr>
        <w:pStyle w:val="Style1"/>
        <w:spacing w:before="279" w:line="277" w:lineRule="exact"/>
        <w:ind w:right="288"/>
        <w:rPr>
          <w:rFonts w:ascii="Arial" w:hAnsi="Arial" w:cs="Arial"/>
          <w:sz w:val="22"/>
          <w:szCs w:val="22"/>
        </w:rPr>
      </w:pPr>
      <w:r w:rsidRPr="00221DFF">
        <w:rPr>
          <w:rStyle w:val="CharacterStyle1"/>
          <w:rFonts w:ascii="Arial" w:hAnsi="Arial" w:cs="Arial"/>
          <w:sz w:val="22"/>
          <w:szCs w:val="22"/>
        </w:rPr>
        <w:t xml:space="preserve">Beantragt wird die Schaffung </w:t>
      </w:r>
      <w:r w:rsidR="006541E2">
        <w:rPr>
          <w:rStyle w:val="CharacterStyle1"/>
          <w:rFonts w:ascii="Arial" w:hAnsi="Arial" w:cs="Arial"/>
          <w:sz w:val="22"/>
          <w:szCs w:val="22"/>
        </w:rPr>
        <w:t>einer 1,0 Stelle, EG 11</w:t>
      </w:r>
      <w:r w:rsidR="00A90BD0">
        <w:rPr>
          <w:rStyle w:val="CharacterStyle1"/>
          <w:rFonts w:ascii="Arial" w:hAnsi="Arial" w:cs="Arial"/>
          <w:sz w:val="22"/>
          <w:szCs w:val="22"/>
        </w:rPr>
        <w:t>, Sachbearbeiter/</w:t>
      </w:r>
      <w:r w:rsidR="002E3A16">
        <w:rPr>
          <w:rStyle w:val="CharacterStyle1"/>
          <w:rFonts w:ascii="Arial" w:hAnsi="Arial" w:cs="Arial"/>
          <w:sz w:val="22"/>
          <w:szCs w:val="22"/>
        </w:rPr>
        <w:t>-</w:t>
      </w:r>
      <w:r w:rsidR="00A90BD0">
        <w:rPr>
          <w:rStyle w:val="CharacterStyle1"/>
          <w:rFonts w:ascii="Arial" w:hAnsi="Arial" w:cs="Arial"/>
          <w:sz w:val="22"/>
          <w:szCs w:val="22"/>
        </w:rPr>
        <w:t>in Forderungsmanag</w:t>
      </w:r>
      <w:r w:rsidR="00A90BD0">
        <w:rPr>
          <w:rStyle w:val="CharacterStyle1"/>
          <w:rFonts w:ascii="Arial" w:hAnsi="Arial" w:cs="Arial"/>
          <w:sz w:val="22"/>
          <w:szCs w:val="22"/>
        </w:rPr>
        <w:t>e</w:t>
      </w:r>
      <w:r w:rsidR="00A90BD0">
        <w:rPr>
          <w:rStyle w:val="CharacterStyle1"/>
          <w:rFonts w:ascii="Arial" w:hAnsi="Arial" w:cs="Arial"/>
          <w:sz w:val="22"/>
          <w:szCs w:val="22"/>
        </w:rPr>
        <w:t>ment im Sachgebiet Haushalt und Fi</w:t>
      </w:r>
      <w:r w:rsidR="002E3A16">
        <w:rPr>
          <w:rStyle w:val="CharacterStyle1"/>
          <w:rFonts w:ascii="Arial" w:hAnsi="Arial" w:cs="Arial"/>
          <w:sz w:val="22"/>
          <w:szCs w:val="22"/>
        </w:rPr>
        <w:t>nanzen der Abteilung Verwaltung.</w:t>
      </w:r>
    </w:p>
    <w:p w:rsidR="003D3EED" w:rsidRPr="00221DFF" w:rsidRDefault="003D3EED" w:rsidP="003D3EED">
      <w:pPr>
        <w:pStyle w:val="berschrift1"/>
        <w:rPr>
          <w:rFonts w:cs="Arial"/>
          <w:sz w:val="22"/>
          <w:szCs w:val="22"/>
        </w:rPr>
      </w:pPr>
      <w:r w:rsidRPr="00221DFF">
        <w:rPr>
          <w:rFonts w:cs="Arial"/>
          <w:sz w:val="22"/>
          <w:szCs w:val="22"/>
        </w:rPr>
        <w:t>2</w:t>
      </w:r>
      <w:r w:rsidR="00503857" w:rsidRPr="00221DFF">
        <w:rPr>
          <w:rFonts w:cs="Arial"/>
          <w:sz w:val="22"/>
          <w:szCs w:val="22"/>
        </w:rPr>
        <w:t>.</w:t>
      </w:r>
      <w:r w:rsidRPr="00221DFF">
        <w:rPr>
          <w:rFonts w:cs="Arial"/>
          <w:sz w:val="22"/>
          <w:szCs w:val="22"/>
        </w:rPr>
        <w:t xml:space="preserve"> Schaffungskriterien</w:t>
      </w:r>
    </w:p>
    <w:p w:rsidR="00D4673B" w:rsidRPr="00221DFF" w:rsidRDefault="00D4673B" w:rsidP="00D4673B">
      <w:pPr>
        <w:rPr>
          <w:rFonts w:cs="Arial"/>
          <w:sz w:val="22"/>
          <w:szCs w:val="22"/>
        </w:rPr>
      </w:pPr>
    </w:p>
    <w:p w:rsidR="00E30597" w:rsidRDefault="006C4419" w:rsidP="00A94661">
      <w:pPr>
        <w:rPr>
          <w:rFonts w:cs="Arial"/>
          <w:sz w:val="22"/>
          <w:szCs w:val="22"/>
        </w:rPr>
      </w:pPr>
      <w:r>
        <w:rPr>
          <w:rFonts w:cs="Arial"/>
          <w:sz w:val="22"/>
          <w:szCs w:val="22"/>
        </w:rPr>
        <w:t>Das Jobcenter Stuttgart erbringt</w:t>
      </w:r>
      <w:r w:rsidR="000D477C">
        <w:rPr>
          <w:rFonts w:cs="Arial"/>
          <w:sz w:val="22"/>
          <w:szCs w:val="22"/>
        </w:rPr>
        <w:t xml:space="preserve"> im Rahmen der Grundsicherung für Arbeitsuchende nach dem Zweiten Buch Sozialgesetzbuch - SGB II </w:t>
      </w:r>
      <w:r w:rsidR="00F40623">
        <w:rPr>
          <w:rFonts w:cs="Arial"/>
          <w:sz w:val="22"/>
          <w:szCs w:val="22"/>
        </w:rPr>
        <w:t>-</w:t>
      </w:r>
      <w:r w:rsidR="000D477C">
        <w:rPr>
          <w:rFonts w:cs="Arial"/>
          <w:sz w:val="22"/>
          <w:szCs w:val="22"/>
        </w:rPr>
        <w:t xml:space="preserve"> neben den Leistungen zur Beratung</w:t>
      </w:r>
      <w:r w:rsidR="00F40623">
        <w:rPr>
          <w:rFonts w:cs="Arial"/>
          <w:sz w:val="22"/>
          <w:szCs w:val="22"/>
        </w:rPr>
        <w:t xml:space="preserve"> </w:t>
      </w:r>
      <w:r w:rsidR="003F4E12">
        <w:rPr>
          <w:rFonts w:cs="Arial"/>
          <w:sz w:val="22"/>
          <w:szCs w:val="22"/>
        </w:rPr>
        <w:t xml:space="preserve">insbesondere auch </w:t>
      </w:r>
      <w:r w:rsidR="00F40623">
        <w:rPr>
          <w:rFonts w:cs="Arial"/>
          <w:sz w:val="22"/>
          <w:szCs w:val="22"/>
        </w:rPr>
        <w:t>Leistungen zur E</w:t>
      </w:r>
      <w:r w:rsidR="000D477C">
        <w:rPr>
          <w:rFonts w:cs="Arial"/>
          <w:sz w:val="22"/>
          <w:szCs w:val="22"/>
        </w:rPr>
        <w:t>ingliederung in Arbeit</w:t>
      </w:r>
      <w:r w:rsidR="00F40623">
        <w:rPr>
          <w:rFonts w:cs="Arial"/>
          <w:sz w:val="22"/>
          <w:szCs w:val="22"/>
        </w:rPr>
        <w:t xml:space="preserve"> und </w:t>
      </w:r>
      <w:r w:rsidR="00EB2B7A">
        <w:rPr>
          <w:rFonts w:cs="Arial"/>
          <w:sz w:val="22"/>
          <w:szCs w:val="22"/>
        </w:rPr>
        <w:t xml:space="preserve">Leistungen </w:t>
      </w:r>
      <w:r>
        <w:rPr>
          <w:rFonts w:cs="Arial"/>
          <w:sz w:val="22"/>
          <w:szCs w:val="22"/>
        </w:rPr>
        <w:t>zur Sicherung des Lebensunterhalts</w:t>
      </w:r>
      <w:r w:rsidR="00F40623">
        <w:rPr>
          <w:rFonts w:cs="Arial"/>
          <w:sz w:val="22"/>
          <w:szCs w:val="22"/>
        </w:rPr>
        <w:t>. In 2015 beliefen sich die Transferleistungen auf insgesamt rund 29</w:t>
      </w:r>
      <w:r w:rsidR="00FF24CB">
        <w:rPr>
          <w:rFonts w:cs="Arial"/>
          <w:sz w:val="22"/>
          <w:szCs w:val="22"/>
        </w:rPr>
        <w:t>7 </w:t>
      </w:r>
      <w:r w:rsidR="00F40623">
        <w:rPr>
          <w:rFonts w:cs="Arial"/>
          <w:sz w:val="22"/>
          <w:szCs w:val="22"/>
        </w:rPr>
        <w:t>Mio.</w:t>
      </w:r>
      <w:r w:rsidR="00FF24CB">
        <w:rPr>
          <w:rFonts w:cs="Arial"/>
          <w:sz w:val="22"/>
          <w:szCs w:val="22"/>
        </w:rPr>
        <w:t> </w:t>
      </w:r>
      <w:r w:rsidR="00F40623">
        <w:rPr>
          <w:rFonts w:cs="Arial"/>
          <w:sz w:val="22"/>
          <w:szCs w:val="22"/>
        </w:rPr>
        <w:t xml:space="preserve">Euro. </w:t>
      </w:r>
      <w:r w:rsidR="00FB5CE5">
        <w:rPr>
          <w:rFonts w:cs="Arial"/>
          <w:sz w:val="22"/>
          <w:szCs w:val="22"/>
        </w:rPr>
        <w:t>Im Gegenzug dazu wurden Forderungen a</w:t>
      </w:r>
      <w:r w:rsidR="003F4E12">
        <w:rPr>
          <w:rFonts w:cs="Arial"/>
          <w:sz w:val="22"/>
          <w:szCs w:val="22"/>
        </w:rPr>
        <w:t>ufgrund von Rückforderungsansprüchen oder anderweitiger Erstattungsa</w:t>
      </w:r>
      <w:r w:rsidR="003F4E12">
        <w:rPr>
          <w:rFonts w:cs="Arial"/>
          <w:sz w:val="22"/>
          <w:szCs w:val="22"/>
        </w:rPr>
        <w:t>n</w:t>
      </w:r>
      <w:r w:rsidR="003F4E12">
        <w:rPr>
          <w:rFonts w:cs="Arial"/>
          <w:sz w:val="22"/>
          <w:szCs w:val="22"/>
        </w:rPr>
        <w:t>sprüche</w:t>
      </w:r>
      <w:r w:rsidR="00FB5CE5">
        <w:rPr>
          <w:rFonts w:cs="Arial"/>
          <w:sz w:val="22"/>
          <w:szCs w:val="22"/>
        </w:rPr>
        <w:t xml:space="preserve"> in Höhe von</w:t>
      </w:r>
      <w:r w:rsidR="00FF24CB">
        <w:rPr>
          <w:rFonts w:cs="Arial"/>
          <w:sz w:val="22"/>
          <w:szCs w:val="22"/>
        </w:rPr>
        <w:t xml:space="preserve"> rund </w:t>
      </w:r>
      <w:r w:rsidR="009B02F7">
        <w:rPr>
          <w:rFonts w:cs="Arial"/>
          <w:sz w:val="22"/>
          <w:szCs w:val="22"/>
        </w:rPr>
        <w:t>1</w:t>
      </w:r>
      <w:r w:rsidR="00FF24CB">
        <w:rPr>
          <w:rFonts w:cs="Arial"/>
          <w:sz w:val="22"/>
          <w:szCs w:val="22"/>
        </w:rPr>
        <w:t xml:space="preserve">6 </w:t>
      </w:r>
      <w:r w:rsidR="009B02F7">
        <w:rPr>
          <w:rFonts w:cs="Arial"/>
          <w:sz w:val="22"/>
          <w:szCs w:val="22"/>
        </w:rPr>
        <w:t>Mio. Euro</w:t>
      </w:r>
      <w:r w:rsidR="0003366F">
        <w:rPr>
          <w:rFonts w:cs="Arial"/>
          <w:sz w:val="22"/>
          <w:szCs w:val="22"/>
        </w:rPr>
        <w:t xml:space="preserve"> </w:t>
      </w:r>
      <w:r w:rsidR="00FB5CE5">
        <w:rPr>
          <w:rFonts w:cs="Arial"/>
          <w:sz w:val="22"/>
          <w:szCs w:val="22"/>
        </w:rPr>
        <w:t>geltend gemacht</w:t>
      </w:r>
      <w:r w:rsidR="00A17357">
        <w:rPr>
          <w:rFonts w:cs="Arial"/>
          <w:sz w:val="22"/>
          <w:szCs w:val="22"/>
        </w:rPr>
        <w:t>.</w:t>
      </w:r>
      <w:r w:rsidR="0003366F">
        <w:rPr>
          <w:rFonts w:cs="Arial"/>
          <w:sz w:val="22"/>
          <w:szCs w:val="22"/>
        </w:rPr>
        <w:t xml:space="preserve"> </w:t>
      </w:r>
      <w:r w:rsidR="001258CF">
        <w:rPr>
          <w:rFonts w:cs="Arial"/>
          <w:sz w:val="22"/>
          <w:szCs w:val="22"/>
        </w:rPr>
        <w:t>Vom Januar bis Oktober 2016 wurden</w:t>
      </w:r>
      <w:r w:rsidR="0003366F">
        <w:rPr>
          <w:rFonts w:cs="Arial"/>
          <w:sz w:val="22"/>
          <w:szCs w:val="22"/>
        </w:rPr>
        <w:t xml:space="preserve"> Forderungen </w:t>
      </w:r>
      <w:r w:rsidR="001258CF">
        <w:rPr>
          <w:rFonts w:cs="Arial"/>
          <w:sz w:val="22"/>
          <w:szCs w:val="22"/>
        </w:rPr>
        <w:t>von rund 14</w:t>
      </w:r>
      <w:r w:rsidR="0003366F">
        <w:rPr>
          <w:rFonts w:cs="Arial"/>
          <w:sz w:val="22"/>
          <w:szCs w:val="22"/>
        </w:rPr>
        <w:t xml:space="preserve"> Mio. Euro</w:t>
      </w:r>
      <w:r w:rsidR="001258CF">
        <w:rPr>
          <w:rFonts w:cs="Arial"/>
          <w:sz w:val="22"/>
          <w:szCs w:val="22"/>
        </w:rPr>
        <w:t xml:space="preserve"> ins Soll gestellt</w:t>
      </w:r>
      <w:r w:rsidR="0003366F">
        <w:rPr>
          <w:rFonts w:cs="Arial"/>
          <w:sz w:val="22"/>
          <w:szCs w:val="22"/>
        </w:rPr>
        <w:t xml:space="preserve">. </w:t>
      </w:r>
      <w:r w:rsidR="000B703D">
        <w:rPr>
          <w:rFonts w:cs="Arial"/>
          <w:sz w:val="22"/>
          <w:szCs w:val="22"/>
        </w:rPr>
        <w:t>Ganz überwiegend handelt es sich um öffen</w:t>
      </w:r>
      <w:r w:rsidR="000B703D">
        <w:rPr>
          <w:rFonts w:cs="Arial"/>
          <w:sz w:val="22"/>
          <w:szCs w:val="22"/>
        </w:rPr>
        <w:t>t</w:t>
      </w:r>
      <w:r w:rsidR="000B703D">
        <w:rPr>
          <w:rFonts w:cs="Arial"/>
          <w:sz w:val="22"/>
          <w:szCs w:val="22"/>
        </w:rPr>
        <w:t xml:space="preserve">lich-rechtliche Forderungen, rund </w:t>
      </w:r>
      <w:r w:rsidR="00FB5CE5">
        <w:rPr>
          <w:rFonts w:cs="Arial"/>
          <w:sz w:val="22"/>
          <w:szCs w:val="22"/>
        </w:rPr>
        <w:t>54</w:t>
      </w:r>
      <w:r w:rsidR="000B703D">
        <w:rPr>
          <w:rFonts w:cs="Arial"/>
          <w:sz w:val="22"/>
          <w:szCs w:val="22"/>
        </w:rPr>
        <w:t> </w:t>
      </w:r>
      <w:r w:rsidR="00FB5CE5">
        <w:rPr>
          <w:rFonts w:cs="Arial"/>
          <w:sz w:val="22"/>
          <w:szCs w:val="22"/>
        </w:rPr>
        <w:t>Prozent</w:t>
      </w:r>
      <w:r w:rsidR="000B703D">
        <w:rPr>
          <w:rFonts w:cs="Arial"/>
          <w:sz w:val="22"/>
          <w:szCs w:val="22"/>
        </w:rPr>
        <w:t xml:space="preserve"> betreffen </w:t>
      </w:r>
      <w:r w:rsidR="00E30597">
        <w:rPr>
          <w:rFonts w:cs="Arial"/>
          <w:sz w:val="22"/>
          <w:szCs w:val="22"/>
        </w:rPr>
        <w:t>kommunale Mittel, 46 Prozent Bundesmi</w:t>
      </w:r>
      <w:r w:rsidR="00E30597">
        <w:rPr>
          <w:rFonts w:cs="Arial"/>
          <w:sz w:val="22"/>
          <w:szCs w:val="22"/>
        </w:rPr>
        <w:t>t</w:t>
      </w:r>
      <w:r w:rsidR="00E30597">
        <w:rPr>
          <w:rFonts w:cs="Arial"/>
          <w:sz w:val="22"/>
          <w:szCs w:val="22"/>
        </w:rPr>
        <w:t>tel.</w:t>
      </w:r>
    </w:p>
    <w:p w:rsidR="00E30597" w:rsidRDefault="00E30597" w:rsidP="00A94661">
      <w:pPr>
        <w:rPr>
          <w:rFonts w:cs="Arial"/>
          <w:sz w:val="22"/>
          <w:szCs w:val="22"/>
        </w:rPr>
      </w:pPr>
    </w:p>
    <w:p w:rsidR="005E1B92" w:rsidRDefault="00E30597" w:rsidP="00E30597">
      <w:pPr>
        <w:rPr>
          <w:rFonts w:cs="Arial"/>
          <w:sz w:val="22"/>
          <w:szCs w:val="22"/>
        </w:rPr>
      </w:pPr>
      <w:r>
        <w:rPr>
          <w:rFonts w:cs="Arial"/>
          <w:sz w:val="22"/>
          <w:szCs w:val="22"/>
        </w:rPr>
        <w:t xml:space="preserve">Ein vollständiger und zeitnaher Eingang der </w:t>
      </w:r>
      <w:r w:rsidR="00A17357">
        <w:rPr>
          <w:rFonts w:cs="Arial"/>
          <w:sz w:val="22"/>
          <w:szCs w:val="22"/>
        </w:rPr>
        <w:t>ins Soll gestellten Beträge</w:t>
      </w:r>
      <w:r w:rsidR="005E1B92">
        <w:rPr>
          <w:rFonts w:cs="Arial"/>
          <w:sz w:val="22"/>
          <w:szCs w:val="22"/>
        </w:rPr>
        <w:t xml:space="preserve"> s</w:t>
      </w:r>
      <w:r>
        <w:rPr>
          <w:rFonts w:cs="Arial"/>
          <w:sz w:val="22"/>
          <w:szCs w:val="22"/>
        </w:rPr>
        <w:t xml:space="preserve">tärkt unmittelbar die </w:t>
      </w:r>
      <w:r w:rsidR="00A17357">
        <w:rPr>
          <w:rFonts w:cs="Arial"/>
          <w:sz w:val="22"/>
          <w:szCs w:val="22"/>
        </w:rPr>
        <w:t>F</w:t>
      </w:r>
      <w:r>
        <w:rPr>
          <w:rFonts w:cs="Arial"/>
          <w:sz w:val="22"/>
          <w:szCs w:val="22"/>
        </w:rPr>
        <w:t>i</w:t>
      </w:r>
      <w:r>
        <w:rPr>
          <w:rFonts w:cs="Arial"/>
          <w:sz w:val="22"/>
          <w:szCs w:val="22"/>
        </w:rPr>
        <w:t>nanz</w:t>
      </w:r>
      <w:r w:rsidR="00A17357">
        <w:rPr>
          <w:rFonts w:cs="Arial"/>
          <w:sz w:val="22"/>
          <w:szCs w:val="22"/>
        </w:rPr>
        <w:t xml:space="preserve">kraft der </w:t>
      </w:r>
      <w:r>
        <w:rPr>
          <w:rFonts w:cs="Arial"/>
          <w:sz w:val="22"/>
          <w:szCs w:val="22"/>
        </w:rPr>
        <w:t>Kommune</w:t>
      </w:r>
      <w:r w:rsidR="005E1B92">
        <w:rPr>
          <w:rFonts w:cs="Arial"/>
          <w:sz w:val="22"/>
          <w:szCs w:val="22"/>
        </w:rPr>
        <w:t xml:space="preserve"> und trägt damit zur Haushaltssicherung bei. </w:t>
      </w:r>
      <w:r>
        <w:rPr>
          <w:rFonts w:cs="Arial"/>
          <w:sz w:val="22"/>
          <w:szCs w:val="22"/>
        </w:rPr>
        <w:t>Forderungsausfälle und zei</w:t>
      </w:r>
      <w:r>
        <w:rPr>
          <w:rFonts w:cs="Arial"/>
          <w:sz w:val="22"/>
          <w:szCs w:val="22"/>
        </w:rPr>
        <w:t>t</w:t>
      </w:r>
      <w:r>
        <w:rPr>
          <w:rFonts w:cs="Arial"/>
          <w:sz w:val="22"/>
          <w:szCs w:val="22"/>
        </w:rPr>
        <w:t>lich verzögerte Einzahlungen</w:t>
      </w:r>
      <w:r w:rsidR="00A17357">
        <w:rPr>
          <w:rFonts w:cs="Arial"/>
          <w:sz w:val="22"/>
          <w:szCs w:val="22"/>
        </w:rPr>
        <w:t xml:space="preserve"> </w:t>
      </w:r>
      <w:proofErr w:type="gramStart"/>
      <w:r>
        <w:rPr>
          <w:rFonts w:cs="Arial"/>
          <w:sz w:val="22"/>
          <w:szCs w:val="22"/>
        </w:rPr>
        <w:t>gilt</w:t>
      </w:r>
      <w:proofErr w:type="gramEnd"/>
      <w:r>
        <w:rPr>
          <w:rFonts w:cs="Arial"/>
          <w:sz w:val="22"/>
          <w:szCs w:val="22"/>
        </w:rPr>
        <w:t xml:space="preserve"> es daher zu vermeiden bzw. zu min</w:t>
      </w:r>
      <w:r w:rsidR="00A17357">
        <w:rPr>
          <w:rFonts w:cs="Arial"/>
          <w:sz w:val="22"/>
          <w:szCs w:val="22"/>
        </w:rPr>
        <w:t>imieren</w:t>
      </w:r>
      <w:r w:rsidR="005E1B92">
        <w:rPr>
          <w:rFonts w:cs="Arial"/>
          <w:sz w:val="22"/>
          <w:szCs w:val="22"/>
        </w:rPr>
        <w:t>. Dieses Ziel verfolgt das Forderungsmanagement.</w:t>
      </w:r>
    </w:p>
    <w:p w:rsidR="007650B7" w:rsidRDefault="007650B7" w:rsidP="00E30597">
      <w:pPr>
        <w:rPr>
          <w:rFonts w:cs="Arial"/>
          <w:sz w:val="22"/>
          <w:szCs w:val="22"/>
        </w:rPr>
      </w:pPr>
    </w:p>
    <w:p w:rsidR="007650B7" w:rsidRDefault="007650B7" w:rsidP="00E30597">
      <w:pPr>
        <w:rPr>
          <w:rFonts w:cs="Arial"/>
          <w:sz w:val="22"/>
          <w:szCs w:val="22"/>
        </w:rPr>
      </w:pPr>
    </w:p>
    <w:p w:rsidR="007650B7" w:rsidRDefault="007650B7" w:rsidP="00E30597">
      <w:pPr>
        <w:rPr>
          <w:rFonts w:cs="Arial"/>
          <w:sz w:val="22"/>
          <w:szCs w:val="22"/>
        </w:rPr>
      </w:pPr>
    </w:p>
    <w:p w:rsidR="007650B7" w:rsidRDefault="007650B7" w:rsidP="00E30597">
      <w:pPr>
        <w:rPr>
          <w:rFonts w:cs="Arial"/>
          <w:sz w:val="22"/>
          <w:szCs w:val="22"/>
        </w:rPr>
      </w:pPr>
    </w:p>
    <w:p w:rsidR="007650B7" w:rsidRDefault="007650B7" w:rsidP="00E30597">
      <w:pPr>
        <w:rPr>
          <w:rFonts w:cs="Arial"/>
          <w:sz w:val="22"/>
          <w:szCs w:val="22"/>
        </w:rPr>
      </w:pPr>
    </w:p>
    <w:p w:rsidR="003D3EED" w:rsidRPr="00221DFF" w:rsidRDefault="003D3EED" w:rsidP="00CE2770">
      <w:pPr>
        <w:pStyle w:val="berschrift1"/>
        <w:rPr>
          <w:rFonts w:cs="Arial"/>
          <w:color w:val="000000"/>
          <w:sz w:val="22"/>
          <w:szCs w:val="22"/>
        </w:rPr>
      </w:pPr>
      <w:r w:rsidRPr="00221DFF">
        <w:rPr>
          <w:rFonts w:cs="Arial"/>
          <w:sz w:val="22"/>
          <w:szCs w:val="22"/>
        </w:rPr>
        <w:lastRenderedPageBreak/>
        <w:t>3</w:t>
      </w:r>
      <w:r w:rsidR="00503857" w:rsidRPr="00221DFF">
        <w:rPr>
          <w:rFonts w:cs="Arial"/>
          <w:sz w:val="22"/>
          <w:szCs w:val="22"/>
        </w:rPr>
        <w:t>.</w:t>
      </w:r>
      <w:r w:rsidR="00221DFF">
        <w:rPr>
          <w:rFonts w:cs="Arial"/>
          <w:sz w:val="22"/>
          <w:szCs w:val="22"/>
        </w:rPr>
        <w:t xml:space="preserve"> Bedarf</w:t>
      </w:r>
    </w:p>
    <w:p w:rsidR="003D3EED" w:rsidRPr="00CE2770" w:rsidRDefault="003D3EED" w:rsidP="00CE2770">
      <w:pPr>
        <w:pStyle w:val="Style1"/>
        <w:kinsoku w:val="0"/>
        <w:overflowPunct w:val="0"/>
        <w:autoSpaceDE/>
        <w:autoSpaceDN/>
        <w:adjustRightInd/>
        <w:spacing w:before="279" w:line="277" w:lineRule="exact"/>
        <w:ind w:right="288"/>
        <w:textAlignment w:val="baseline"/>
        <w:rPr>
          <w:rFonts w:ascii="Arial" w:hAnsi="Arial" w:cs="Arial"/>
          <w:b/>
          <w:color w:val="000000"/>
          <w:sz w:val="22"/>
          <w:szCs w:val="22"/>
        </w:rPr>
      </w:pPr>
      <w:r w:rsidRPr="00CE2770">
        <w:rPr>
          <w:rFonts w:ascii="Arial" w:hAnsi="Arial" w:cs="Arial"/>
          <w:b/>
          <w:color w:val="000000"/>
          <w:sz w:val="22"/>
          <w:szCs w:val="22"/>
        </w:rPr>
        <w:t>3.1 Anlass</w:t>
      </w:r>
    </w:p>
    <w:p w:rsidR="00E42E24" w:rsidRPr="00221DFF" w:rsidRDefault="00E42E24" w:rsidP="00F532DC">
      <w:pPr>
        <w:rPr>
          <w:rFonts w:cs="Arial"/>
          <w:b/>
          <w:color w:val="000000"/>
          <w:sz w:val="22"/>
          <w:szCs w:val="22"/>
        </w:rPr>
      </w:pPr>
    </w:p>
    <w:p w:rsidR="001B1191" w:rsidRDefault="001B1191" w:rsidP="001B1191">
      <w:pPr>
        <w:rPr>
          <w:rFonts w:cs="Arial"/>
          <w:sz w:val="22"/>
          <w:szCs w:val="22"/>
        </w:rPr>
      </w:pPr>
      <w:r>
        <w:rPr>
          <w:rFonts w:cs="Arial"/>
          <w:sz w:val="22"/>
          <w:szCs w:val="22"/>
        </w:rPr>
        <w:t>Das Forderungsmanagement zählt zum Bereich des Rechnungswesens und ist Teil des internen Kontrollsystems. Es umfasst alle Maßnahmen und Strategien, die darauf abzielen, die Bearbe</w:t>
      </w:r>
      <w:r>
        <w:rPr>
          <w:rFonts w:cs="Arial"/>
          <w:sz w:val="22"/>
          <w:szCs w:val="22"/>
        </w:rPr>
        <w:t>i</w:t>
      </w:r>
      <w:r>
        <w:rPr>
          <w:rFonts w:cs="Arial"/>
          <w:sz w:val="22"/>
          <w:szCs w:val="22"/>
        </w:rPr>
        <w:t>tung, Überwachung, Realisierung und Sicherung der offenen Posten zu optimieren. Die Umse</w:t>
      </w:r>
      <w:r>
        <w:rPr>
          <w:rFonts w:cs="Arial"/>
          <w:sz w:val="22"/>
          <w:szCs w:val="22"/>
        </w:rPr>
        <w:t>t</w:t>
      </w:r>
      <w:r>
        <w:rPr>
          <w:rFonts w:cs="Arial"/>
          <w:sz w:val="22"/>
          <w:szCs w:val="22"/>
        </w:rPr>
        <w:t>zung erfordert eine prozessuale Sicht auf die Arbeitsabläufe sowie die Einbeziehung aller mit den Forderungen befassten Organisationseinheiten.</w:t>
      </w:r>
    </w:p>
    <w:p w:rsidR="001B1191" w:rsidRDefault="001B1191" w:rsidP="001B1191">
      <w:pPr>
        <w:rPr>
          <w:rFonts w:cs="Arial"/>
          <w:sz w:val="22"/>
          <w:szCs w:val="22"/>
        </w:rPr>
      </w:pPr>
      <w:r>
        <w:rPr>
          <w:rFonts w:cs="Arial"/>
          <w:sz w:val="22"/>
          <w:szCs w:val="22"/>
        </w:rPr>
        <w:t xml:space="preserve"> </w:t>
      </w:r>
    </w:p>
    <w:p w:rsidR="001B1191" w:rsidRDefault="001B1191" w:rsidP="001B1191">
      <w:pPr>
        <w:rPr>
          <w:rFonts w:cs="Arial"/>
          <w:sz w:val="22"/>
          <w:szCs w:val="22"/>
        </w:rPr>
      </w:pPr>
      <w:r>
        <w:rPr>
          <w:rFonts w:cs="Arial"/>
          <w:sz w:val="22"/>
          <w:szCs w:val="22"/>
        </w:rPr>
        <w:t>Ein wesentlicher Ansatzpunkt für Effizienzsteigerungen sind die internen Geschäftsprozesse und Workflows. Der Geschäftsprozess beginnt mit der Entstehung einer Forderung und endet mit der Erledigung durch die fristgerechte Zahlung, Mahnung, weitergehende Beitreibungsmaßnahmen oder mit der Niederschlagung und Wertberichtigung. A</w:t>
      </w:r>
      <w:r w:rsidR="00450B6B">
        <w:rPr>
          <w:rFonts w:cs="Arial"/>
          <w:sz w:val="22"/>
          <w:szCs w:val="22"/>
        </w:rPr>
        <w:t xml:space="preserve">n diesem </w:t>
      </w:r>
      <w:r>
        <w:rPr>
          <w:rFonts w:cs="Arial"/>
          <w:sz w:val="22"/>
          <w:szCs w:val="22"/>
        </w:rPr>
        <w:t>Prozess sind das Jobcenter als Gläubiger der Forderungen und die Stadtkämmerei mit den Abteilungen Stadtkasse und Beitre</w:t>
      </w:r>
      <w:r>
        <w:rPr>
          <w:rFonts w:cs="Arial"/>
          <w:sz w:val="22"/>
          <w:szCs w:val="22"/>
        </w:rPr>
        <w:t>i</w:t>
      </w:r>
      <w:r>
        <w:rPr>
          <w:rFonts w:cs="Arial"/>
          <w:sz w:val="22"/>
          <w:szCs w:val="22"/>
        </w:rPr>
        <w:t>bung beteiligt</w:t>
      </w:r>
      <w:r w:rsidR="00450B6B">
        <w:rPr>
          <w:rFonts w:cs="Arial"/>
          <w:sz w:val="22"/>
          <w:szCs w:val="22"/>
        </w:rPr>
        <w:t xml:space="preserve">. </w:t>
      </w:r>
      <w:r>
        <w:rPr>
          <w:rFonts w:cs="Arial"/>
          <w:sz w:val="22"/>
          <w:szCs w:val="22"/>
        </w:rPr>
        <w:t>Der Standardprozess weist dabei folgende Prozessschritte auf:</w:t>
      </w:r>
    </w:p>
    <w:p w:rsidR="00450B6B" w:rsidRDefault="00450B6B" w:rsidP="001B1191">
      <w:pPr>
        <w:rPr>
          <w:rFonts w:cs="Arial"/>
          <w:sz w:val="22"/>
          <w:szCs w:val="22"/>
        </w:rPr>
      </w:pPr>
    </w:p>
    <w:p w:rsidR="001B1191" w:rsidRDefault="001B1191" w:rsidP="001B1191">
      <w:pPr>
        <w:pStyle w:val="Listenabsatz"/>
        <w:numPr>
          <w:ilvl w:val="0"/>
          <w:numId w:val="42"/>
        </w:numPr>
        <w:rPr>
          <w:rFonts w:cs="Arial"/>
          <w:sz w:val="22"/>
          <w:szCs w:val="22"/>
        </w:rPr>
      </w:pPr>
      <w:r>
        <w:rPr>
          <w:rFonts w:cs="Arial"/>
          <w:sz w:val="22"/>
          <w:szCs w:val="22"/>
        </w:rPr>
        <w:t>Entstehung der Forderung</w:t>
      </w:r>
    </w:p>
    <w:p w:rsidR="001B1191" w:rsidRDefault="001B1191" w:rsidP="001B1191">
      <w:pPr>
        <w:pStyle w:val="Listenabsatz"/>
        <w:numPr>
          <w:ilvl w:val="0"/>
          <w:numId w:val="42"/>
        </w:numPr>
        <w:rPr>
          <w:rFonts w:cs="Arial"/>
          <w:sz w:val="22"/>
          <w:szCs w:val="22"/>
        </w:rPr>
      </w:pPr>
      <w:r>
        <w:rPr>
          <w:rFonts w:cs="Arial"/>
          <w:sz w:val="22"/>
          <w:szCs w:val="22"/>
        </w:rPr>
        <w:t>Erstellung eines Bescheids</w:t>
      </w:r>
      <w:r w:rsidR="00450B6B">
        <w:rPr>
          <w:rFonts w:cs="Arial"/>
          <w:sz w:val="22"/>
          <w:szCs w:val="22"/>
        </w:rPr>
        <w:t xml:space="preserve"> bzw. </w:t>
      </w:r>
      <w:r>
        <w:rPr>
          <w:rFonts w:cs="Arial"/>
          <w:sz w:val="22"/>
          <w:szCs w:val="22"/>
        </w:rPr>
        <w:t>einer Kostenmitteilung</w:t>
      </w:r>
    </w:p>
    <w:p w:rsidR="001B1191" w:rsidRDefault="001B1191" w:rsidP="001B1191">
      <w:pPr>
        <w:pStyle w:val="Listenabsatz"/>
        <w:numPr>
          <w:ilvl w:val="0"/>
          <w:numId w:val="42"/>
        </w:numPr>
        <w:rPr>
          <w:rFonts w:cs="Arial"/>
          <w:sz w:val="22"/>
          <w:szCs w:val="22"/>
        </w:rPr>
      </w:pPr>
      <w:r>
        <w:rPr>
          <w:rFonts w:cs="Arial"/>
          <w:sz w:val="22"/>
          <w:szCs w:val="22"/>
        </w:rPr>
        <w:t xml:space="preserve">Buchung </w:t>
      </w:r>
      <w:r w:rsidR="00450B6B">
        <w:rPr>
          <w:rFonts w:cs="Arial"/>
          <w:sz w:val="22"/>
          <w:szCs w:val="22"/>
        </w:rPr>
        <w:t xml:space="preserve">(Sollstellung) </w:t>
      </w:r>
      <w:r>
        <w:rPr>
          <w:rFonts w:cs="Arial"/>
          <w:sz w:val="22"/>
          <w:szCs w:val="22"/>
        </w:rPr>
        <w:t>der Forderung</w:t>
      </w:r>
    </w:p>
    <w:p w:rsidR="001B1191" w:rsidRDefault="001B1191" w:rsidP="001B1191">
      <w:pPr>
        <w:pStyle w:val="Listenabsatz"/>
        <w:numPr>
          <w:ilvl w:val="0"/>
          <w:numId w:val="42"/>
        </w:numPr>
        <w:rPr>
          <w:rFonts w:cs="Arial"/>
          <w:sz w:val="22"/>
          <w:szCs w:val="22"/>
        </w:rPr>
      </w:pPr>
      <w:r>
        <w:rPr>
          <w:rFonts w:cs="Arial"/>
          <w:sz w:val="22"/>
          <w:szCs w:val="22"/>
        </w:rPr>
        <w:t>Zahlungseingang oder</w:t>
      </w:r>
    </w:p>
    <w:p w:rsidR="001B1191" w:rsidRDefault="001B1191" w:rsidP="001B1191">
      <w:pPr>
        <w:pStyle w:val="Listenabsatz"/>
        <w:numPr>
          <w:ilvl w:val="0"/>
          <w:numId w:val="42"/>
        </w:numPr>
        <w:rPr>
          <w:rFonts w:cs="Arial"/>
          <w:sz w:val="22"/>
          <w:szCs w:val="22"/>
        </w:rPr>
      </w:pPr>
      <w:r>
        <w:rPr>
          <w:rFonts w:cs="Arial"/>
          <w:sz w:val="22"/>
          <w:szCs w:val="22"/>
        </w:rPr>
        <w:t>Mahnung bei fehlendem Zahlungseingang</w:t>
      </w:r>
    </w:p>
    <w:p w:rsidR="001B1191" w:rsidRDefault="001B1191" w:rsidP="001B1191">
      <w:pPr>
        <w:pStyle w:val="Listenabsatz"/>
        <w:numPr>
          <w:ilvl w:val="0"/>
          <w:numId w:val="42"/>
        </w:numPr>
        <w:rPr>
          <w:rFonts w:cs="Arial"/>
          <w:sz w:val="22"/>
          <w:szCs w:val="22"/>
        </w:rPr>
      </w:pPr>
      <w:r>
        <w:rPr>
          <w:rFonts w:cs="Arial"/>
          <w:sz w:val="22"/>
          <w:szCs w:val="22"/>
        </w:rPr>
        <w:t>Zahlungseingang nach Mahnung oder</w:t>
      </w:r>
    </w:p>
    <w:p w:rsidR="001B1191" w:rsidRDefault="001B1191" w:rsidP="001B1191">
      <w:pPr>
        <w:pStyle w:val="Listenabsatz"/>
        <w:numPr>
          <w:ilvl w:val="0"/>
          <w:numId w:val="42"/>
        </w:numPr>
        <w:rPr>
          <w:rFonts w:cs="Arial"/>
          <w:sz w:val="22"/>
          <w:szCs w:val="22"/>
        </w:rPr>
      </w:pPr>
      <w:r>
        <w:rPr>
          <w:rFonts w:cs="Arial"/>
          <w:sz w:val="22"/>
          <w:szCs w:val="22"/>
        </w:rPr>
        <w:t>Vollstreckung bzw. gerichtliches Mahn- oder Klageverfahren bei privatrechtlichen Ford</w:t>
      </w:r>
      <w:r>
        <w:rPr>
          <w:rFonts w:cs="Arial"/>
          <w:sz w:val="22"/>
          <w:szCs w:val="22"/>
        </w:rPr>
        <w:t>e</w:t>
      </w:r>
      <w:r>
        <w:rPr>
          <w:rFonts w:cs="Arial"/>
          <w:sz w:val="22"/>
          <w:szCs w:val="22"/>
        </w:rPr>
        <w:t>rungen</w:t>
      </w:r>
    </w:p>
    <w:p w:rsidR="001B1191" w:rsidRDefault="001B1191" w:rsidP="001B1191">
      <w:pPr>
        <w:pStyle w:val="Listenabsatz"/>
        <w:numPr>
          <w:ilvl w:val="0"/>
          <w:numId w:val="42"/>
        </w:numPr>
        <w:rPr>
          <w:rFonts w:cs="Arial"/>
          <w:sz w:val="22"/>
          <w:szCs w:val="22"/>
        </w:rPr>
      </w:pPr>
      <w:r>
        <w:rPr>
          <w:rFonts w:cs="Arial"/>
          <w:sz w:val="22"/>
          <w:szCs w:val="22"/>
        </w:rPr>
        <w:t>Zahlungseingang nach Vollstreckung oder</w:t>
      </w:r>
    </w:p>
    <w:p w:rsidR="001B1191" w:rsidRDefault="001B1191" w:rsidP="001B1191">
      <w:pPr>
        <w:pStyle w:val="Listenabsatz"/>
        <w:numPr>
          <w:ilvl w:val="0"/>
          <w:numId w:val="42"/>
        </w:numPr>
        <w:rPr>
          <w:rFonts w:cs="Arial"/>
          <w:sz w:val="22"/>
          <w:szCs w:val="22"/>
        </w:rPr>
      </w:pPr>
      <w:r>
        <w:rPr>
          <w:rFonts w:cs="Arial"/>
          <w:sz w:val="22"/>
          <w:szCs w:val="22"/>
        </w:rPr>
        <w:t>Niederschlagung und Wertberichtigung</w:t>
      </w:r>
    </w:p>
    <w:p w:rsidR="000431B3" w:rsidRDefault="000431B3" w:rsidP="00F532DC">
      <w:pPr>
        <w:rPr>
          <w:rFonts w:cs="Arial"/>
          <w:sz w:val="22"/>
          <w:szCs w:val="22"/>
        </w:rPr>
      </w:pPr>
    </w:p>
    <w:p w:rsidR="00285210" w:rsidRDefault="00704E40" w:rsidP="00F532DC">
      <w:pPr>
        <w:rPr>
          <w:rFonts w:cs="Arial"/>
          <w:sz w:val="22"/>
          <w:szCs w:val="22"/>
        </w:rPr>
      </w:pPr>
      <w:r>
        <w:rPr>
          <w:rFonts w:cs="Arial"/>
          <w:sz w:val="22"/>
          <w:szCs w:val="22"/>
        </w:rPr>
        <w:t>Hieraus leiten sich unmittelbar die Aufgaben des Sachbearbeiters/der Sachbearbeiterin Ford</w:t>
      </w:r>
      <w:r>
        <w:rPr>
          <w:rFonts w:cs="Arial"/>
          <w:sz w:val="22"/>
          <w:szCs w:val="22"/>
        </w:rPr>
        <w:t>e</w:t>
      </w:r>
      <w:r>
        <w:rPr>
          <w:rFonts w:cs="Arial"/>
          <w:sz w:val="22"/>
          <w:szCs w:val="22"/>
        </w:rPr>
        <w:t>rungsmanage</w:t>
      </w:r>
      <w:r w:rsidR="00EF3C7D">
        <w:rPr>
          <w:rFonts w:cs="Arial"/>
          <w:sz w:val="22"/>
          <w:szCs w:val="22"/>
        </w:rPr>
        <w:t>ment ab:</w:t>
      </w:r>
    </w:p>
    <w:p w:rsidR="00EF3C7D" w:rsidRDefault="00EF3C7D" w:rsidP="00F532DC">
      <w:pPr>
        <w:rPr>
          <w:rFonts w:cs="Arial"/>
          <w:sz w:val="22"/>
          <w:szCs w:val="22"/>
        </w:rPr>
      </w:pPr>
    </w:p>
    <w:p w:rsidR="00285210" w:rsidRDefault="00285210" w:rsidP="00285210">
      <w:pPr>
        <w:pStyle w:val="Listenabsatz"/>
        <w:numPr>
          <w:ilvl w:val="0"/>
          <w:numId w:val="43"/>
        </w:numPr>
        <w:rPr>
          <w:rFonts w:cs="Arial"/>
          <w:sz w:val="22"/>
          <w:szCs w:val="22"/>
        </w:rPr>
      </w:pPr>
      <w:r>
        <w:rPr>
          <w:rFonts w:cs="Arial"/>
          <w:sz w:val="22"/>
          <w:szCs w:val="22"/>
        </w:rPr>
        <w:t>laufende Überprüfung und Optimierung der internen Prozesse</w:t>
      </w:r>
    </w:p>
    <w:p w:rsidR="00285210" w:rsidRDefault="00285210" w:rsidP="00285210">
      <w:pPr>
        <w:pStyle w:val="Listenabsatz"/>
        <w:numPr>
          <w:ilvl w:val="0"/>
          <w:numId w:val="43"/>
        </w:numPr>
        <w:rPr>
          <w:rFonts w:cs="Arial"/>
          <w:sz w:val="22"/>
          <w:szCs w:val="22"/>
        </w:rPr>
      </w:pPr>
      <w:r>
        <w:rPr>
          <w:rFonts w:cs="Arial"/>
          <w:sz w:val="22"/>
          <w:szCs w:val="22"/>
        </w:rPr>
        <w:t>Schnittstellenmanagement (insbesondere Schnittstellen mit der Stadtkasse und Beitre</w:t>
      </w:r>
      <w:r>
        <w:rPr>
          <w:rFonts w:cs="Arial"/>
          <w:sz w:val="22"/>
          <w:szCs w:val="22"/>
        </w:rPr>
        <w:t>i</w:t>
      </w:r>
      <w:r>
        <w:rPr>
          <w:rFonts w:cs="Arial"/>
          <w:sz w:val="22"/>
          <w:szCs w:val="22"/>
        </w:rPr>
        <w:t xml:space="preserve">bungsabteilung) </w:t>
      </w:r>
    </w:p>
    <w:p w:rsidR="00285210" w:rsidRDefault="00285210" w:rsidP="00285210">
      <w:pPr>
        <w:pStyle w:val="Listenabsatz"/>
        <w:numPr>
          <w:ilvl w:val="0"/>
          <w:numId w:val="43"/>
        </w:numPr>
        <w:rPr>
          <w:rFonts w:cs="Arial"/>
          <w:sz w:val="22"/>
          <w:szCs w:val="22"/>
        </w:rPr>
      </w:pPr>
      <w:r>
        <w:rPr>
          <w:rFonts w:cs="Arial"/>
          <w:sz w:val="22"/>
          <w:szCs w:val="22"/>
        </w:rPr>
        <w:t>Konzeption</w:t>
      </w:r>
      <w:r w:rsidR="00F457BC">
        <w:rPr>
          <w:rFonts w:cs="Arial"/>
          <w:sz w:val="22"/>
          <w:szCs w:val="22"/>
        </w:rPr>
        <w:t>/</w:t>
      </w:r>
      <w:r>
        <w:rPr>
          <w:rFonts w:cs="Arial"/>
          <w:sz w:val="22"/>
          <w:szCs w:val="22"/>
        </w:rPr>
        <w:t>Durchführung von Schulungen</w:t>
      </w:r>
      <w:r w:rsidR="00F457BC">
        <w:rPr>
          <w:rFonts w:cs="Arial"/>
          <w:sz w:val="22"/>
          <w:szCs w:val="22"/>
        </w:rPr>
        <w:t xml:space="preserve"> zur Forderungsbearbeitung</w:t>
      </w:r>
    </w:p>
    <w:p w:rsidR="00F457BC" w:rsidRDefault="00F457BC" w:rsidP="00285210">
      <w:pPr>
        <w:pStyle w:val="Listenabsatz"/>
        <w:numPr>
          <w:ilvl w:val="0"/>
          <w:numId w:val="43"/>
        </w:numPr>
        <w:rPr>
          <w:rFonts w:cs="Arial"/>
          <w:sz w:val="22"/>
          <w:szCs w:val="22"/>
        </w:rPr>
      </w:pPr>
      <w:r>
        <w:rPr>
          <w:rFonts w:cs="Arial"/>
          <w:sz w:val="22"/>
          <w:szCs w:val="22"/>
        </w:rPr>
        <w:t>Erstellung/Pflege eines Forderungshandbuchs für die Mitarbeitenden</w:t>
      </w:r>
    </w:p>
    <w:p w:rsidR="00F457BC" w:rsidRDefault="00F457BC" w:rsidP="00285210">
      <w:pPr>
        <w:pStyle w:val="Listenabsatz"/>
        <w:numPr>
          <w:ilvl w:val="0"/>
          <w:numId w:val="43"/>
        </w:numPr>
        <w:rPr>
          <w:rFonts w:cs="Arial"/>
          <w:sz w:val="22"/>
          <w:szCs w:val="22"/>
        </w:rPr>
      </w:pPr>
      <w:r>
        <w:rPr>
          <w:rFonts w:cs="Arial"/>
          <w:sz w:val="22"/>
          <w:szCs w:val="22"/>
        </w:rPr>
        <w:t>Vorarbeiten zu den Mahnläufen</w:t>
      </w:r>
      <w:r w:rsidR="00CE2770">
        <w:rPr>
          <w:rFonts w:cs="Arial"/>
          <w:sz w:val="22"/>
          <w:szCs w:val="22"/>
        </w:rPr>
        <w:t xml:space="preserve"> (u. a. Sicherstellung der Aktualität der Adress- und Stammdaten, Überwachung der Mahnsperren) </w:t>
      </w:r>
      <w:r>
        <w:rPr>
          <w:rFonts w:cs="Arial"/>
          <w:sz w:val="22"/>
          <w:szCs w:val="22"/>
        </w:rPr>
        <w:t xml:space="preserve"> </w:t>
      </w:r>
    </w:p>
    <w:p w:rsidR="00F457BC" w:rsidRDefault="00F457BC" w:rsidP="00285210">
      <w:pPr>
        <w:pStyle w:val="Listenabsatz"/>
        <w:numPr>
          <w:ilvl w:val="0"/>
          <w:numId w:val="43"/>
        </w:numPr>
        <w:rPr>
          <w:rFonts w:cs="Arial"/>
          <w:sz w:val="22"/>
          <w:szCs w:val="22"/>
        </w:rPr>
      </w:pPr>
      <w:r>
        <w:rPr>
          <w:rFonts w:cs="Arial"/>
          <w:sz w:val="22"/>
          <w:szCs w:val="22"/>
        </w:rPr>
        <w:t>Ansprechpartner für die Mitarbeitenden vor Ort</w:t>
      </w:r>
    </w:p>
    <w:p w:rsidR="00F457BC" w:rsidRDefault="00F457BC" w:rsidP="00285210">
      <w:pPr>
        <w:pStyle w:val="Listenabsatz"/>
        <w:numPr>
          <w:ilvl w:val="0"/>
          <w:numId w:val="43"/>
        </w:numPr>
        <w:rPr>
          <w:rFonts w:cs="Arial"/>
          <w:sz w:val="22"/>
          <w:szCs w:val="22"/>
        </w:rPr>
      </w:pPr>
      <w:r>
        <w:rPr>
          <w:rFonts w:cs="Arial"/>
          <w:sz w:val="22"/>
          <w:szCs w:val="22"/>
        </w:rPr>
        <w:t>Bearbeitung/Abwicklung der BA-Altforderungen (</w:t>
      </w:r>
      <w:r w:rsidR="00CE2770">
        <w:rPr>
          <w:rFonts w:cs="Arial"/>
          <w:sz w:val="22"/>
          <w:szCs w:val="22"/>
        </w:rPr>
        <w:t xml:space="preserve">u. a. </w:t>
      </w:r>
      <w:proofErr w:type="spellStart"/>
      <w:r>
        <w:rPr>
          <w:rFonts w:cs="Arial"/>
          <w:sz w:val="22"/>
          <w:szCs w:val="22"/>
        </w:rPr>
        <w:t>Sachverhalt</w:t>
      </w:r>
      <w:r w:rsidR="00CE2770">
        <w:rPr>
          <w:rFonts w:cs="Arial"/>
          <w:sz w:val="22"/>
          <w:szCs w:val="22"/>
        </w:rPr>
        <w:t>s</w:t>
      </w:r>
      <w:r>
        <w:rPr>
          <w:rFonts w:cs="Arial"/>
          <w:sz w:val="22"/>
          <w:szCs w:val="22"/>
        </w:rPr>
        <w:t>aufklärung</w:t>
      </w:r>
      <w:proofErr w:type="spellEnd"/>
      <w:r>
        <w:rPr>
          <w:rFonts w:cs="Arial"/>
          <w:sz w:val="22"/>
          <w:szCs w:val="22"/>
        </w:rPr>
        <w:t>, Beantwo</w:t>
      </w:r>
      <w:r>
        <w:rPr>
          <w:rFonts w:cs="Arial"/>
          <w:sz w:val="22"/>
          <w:szCs w:val="22"/>
        </w:rPr>
        <w:t>r</w:t>
      </w:r>
      <w:r>
        <w:rPr>
          <w:rFonts w:cs="Arial"/>
          <w:sz w:val="22"/>
          <w:szCs w:val="22"/>
        </w:rPr>
        <w:t>tung von Kundenanfragen)</w:t>
      </w:r>
    </w:p>
    <w:p w:rsidR="00285210" w:rsidRDefault="00CE2770" w:rsidP="00F532DC">
      <w:pPr>
        <w:pStyle w:val="Listenabsatz"/>
        <w:numPr>
          <w:ilvl w:val="0"/>
          <w:numId w:val="43"/>
        </w:numPr>
        <w:rPr>
          <w:rFonts w:cs="Arial"/>
          <w:sz w:val="22"/>
          <w:szCs w:val="22"/>
        </w:rPr>
      </w:pPr>
      <w:r w:rsidRPr="00CE2770">
        <w:rPr>
          <w:rFonts w:cs="Arial"/>
          <w:sz w:val="22"/>
          <w:szCs w:val="22"/>
        </w:rPr>
        <w:t>Forderungscontrolling und Berichtswesen</w:t>
      </w:r>
    </w:p>
    <w:p w:rsidR="007A5DF0" w:rsidRDefault="007A5DF0" w:rsidP="007A5DF0">
      <w:pPr>
        <w:rPr>
          <w:rFonts w:cs="Arial"/>
          <w:sz w:val="22"/>
          <w:szCs w:val="22"/>
        </w:rPr>
      </w:pPr>
    </w:p>
    <w:p w:rsidR="007A5DF0" w:rsidRPr="007A5DF0" w:rsidRDefault="007A5DF0" w:rsidP="007A5DF0">
      <w:pPr>
        <w:rPr>
          <w:rFonts w:cs="Arial"/>
          <w:sz w:val="22"/>
          <w:szCs w:val="22"/>
        </w:rPr>
      </w:pPr>
      <w:r>
        <w:rPr>
          <w:rFonts w:cs="Arial"/>
          <w:sz w:val="22"/>
          <w:szCs w:val="22"/>
        </w:rPr>
        <w:t>Die Übernahme der Bearbeitung der BA-Altforderungen führt zu einer unmittelbaren Entlastung der Zweigstellen vor Ort. Darüber hinaus wird die permanente Optimierung der Prozesse</w:t>
      </w:r>
      <w:r w:rsidR="00D90995">
        <w:rPr>
          <w:rFonts w:cs="Arial"/>
          <w:sz w:val="22"/>
          <w:szCs w:val="22"/>
        </w:rPr>
        <w:t xml:space="preserve"> zu verbe</w:t>
      </w:r>
      <w:r w:rsidR="00D90995">
        <w:rPr>
          <w:rFonts w:cs="Arial"/>
          <w:sz w:val="22"/>
          <w:szCs w:val="22"/>
        </w:rPr>
        <w:t>s</w:t>
      </w:r>
      <w:r w:rsidR="00D90995">
        <w:rPr>
          <w:rFonts w:cs="Arial"/>
          <w:sz w:val="22"/>
          <w:szCs w:val="22"/>
        </w:rPr>
        <w:t xml:space="preserve">serten und effizienteren </w:t>
      </w:r>
      <w:r>
        <w:rPr>
          <w:rFonts w:cs="Arial"/>
          <w:sz w:val="22"/>
          <w:szCs w:val="22"/>
        </w:rPr>
        <w:t>Arbeitsabläufe</w:t>
      </w:r>
      <w:r w:rsidR="00D90995">
        <w:rPr>
          <w:rFonts w:cs="Arial"/>
          <w:sz w:val="22"/>
          <w:szCs w:val="22"/>
        </w:rPr>
        <w:t>n im Jobcenter und auch im Bereich der Stadtkasse und Beitreibungsabteilung führen.</w:t>
      </w:r>
    </w:p>
    <w:p w:rsidR="004D0312" w:rsidRPr="00221DFF" w:rsidRDefault="003E4AF3" w:rsidP="00651647">
      <w:pPr>
        <w:pStyle w:val="Style1"/>
        <w:kinsoku w:val="0"/>
        <w:overflowPunct w:val="0"/>
        <w:autoSpaceDE/>
        <w:autoSpaceDN/>
        <w:adjustRightInd/>
        <w:spacing w:before="279" w:line="277" w:lineRule="exact"/>
        <w:ind w:right="288"/>
        <w:textAlignment w:val="baseline"/>
        <w:rPr>
          <w:rFonts w:ascii="Arial" w:hAnsi="Arial" w:cs="Arial"/>
          <w:b/>
          <w:color w:val="000000"/>
          <w:sz w:val="22"/>
          <w:szCs w:val="22"/>
        </w:rPr>
      </w:pPr>
      <w:r w:rsidRPr="00221DFF">
        <w:rPr>
          <w:rFonts w:ascii="Arial" w:hAnsi="Arial" w:cs="Arial"/>
          <w:b/>
          <w:color w:val="000000"/>
          <w:sz w:val="22"/>
          <w:szCs w:val="22"/>
        </w:rPr>
        <w:t>3.2. Bisherige Aufgabenwahrnehmung</w:t>
      </w:r>
    </w:p>
    <w:p w:rsidR="00460476" w:rsidRPr="00221DFF" w:rsidRDefault="00460476" w:rsidP="00460476">
      <w:pPr>
        <w:rPr>
          <w:rFonts w:cs="Arial"/>
          <w:color w:val="000000"/>
          <w:sz w:val="22"/>
          <w:szCs w:val="22"/>
        </w:rPr>
      </w:pPr>
    </w:p>
    <w:p w:rsidR="00FD6070" w:rsidRDefault="007271FE" w:rsidP="00F532DC">
      <w:pPr>
        <w:pStyle w:val="Default"/>
        <w:rPr>
          <w:rStyle w:val="CharacterStyle1"/>
          <w:sz w:val="22"/>
          <w:szCs w:val="22"/>
        </w:rPr>
      </w:pPr>
      <w:r>
        <w:rPr>
          <w:rStyle w:val="CharacterStyle1"/>
          <w:sz w:val="22"/>
          <w:szCs w:val="22"/>
        </w:rPr>
        <w:t>Bedingt durch die Organisationsform der gemeinsamen Einrichtung (</w:t>
      </w:r>
      <w:proofErr w:type="spellStart"/>
      <w:r>
        <w:rPr>
          <w:rStyle w:val="CharacterStyle1"/>
          <w:sz w:val="22"/>
          <w:szCs w:val="22"/>
        </w:rPr>
        <w:t>gE</w:t>
      </w:r>
      <w:proofErr w:type="spellEnd"/>
      <w:r>
        <w:rPr>
          <w:rStyle w:val="CharacterStyle1"/>
          <w:sz w:val="22"/>
          <w:szCs w:val="22"/>
        </w:rPr>
        <w:t>) wurden für das Jobcenter bis 2011 viele Service- und Steuerungsleistungen durch die Bundesagentur für Arbeit (BA) er</w:t>
      </w:r>
      <w:r w:rsidR="002E3A16">
        <w:rPr>
          <w:rStyle w:val="CharacterStyle1"/>
          <w:sz w:val="22"/>
          <w:szCs w:val="22"/>
        </w:rPr>
        <w:t>-</w:t>
      </w:r>
      <w:r>
        <w:rPr>
          <w:rStyle w:val="CharacterStyle1"/>
          <w:sz w:val="22"/>
          <w:szCs w:val="22"/>
        </w:rPr>
        <w:t xml:space="preserve">bracht. So erfolgte der </w:t>
      </w:r>
      <w:r w:rsidR="00F14532">
        <w:rPr>
          <w:rStyle w:val="CharacterStyle1"/>
          <w:sz w:val="22"/>
          <w:szCs w:val="22"/>
        </w:rPr>
        <w:t xml:space="preserve">Einzug der </w:t>
      </w:r>
      <w:r>
        <w:rPr>
          <w:rStyle w:val="CharacterStyle1"/>
          <w:sz w:val="22"/>
          <w:szCs w:val="22"/>
        </w:rPr>
        <w:t>Forderung</w:t>
      </w:r>
      <w:r w:rsidR="00F14532">
        <w:rPr>
          <w:rStyle w:val="CharacterStyle1"/>
          <w:sz w:val="22"/>
          <w:szCs w:val="22"/>
        </w:rPr>
        <w:t xml:space="preserve">en </w:t>
      </w:r>
      <w:r>
        <w:rPr>
          <w:rStyle w:val="CharacterStyle1"/>
          <w:sz w:val="22"/>
          <w:szCs w:val="22"/>
        </w:rPr>
        <w:t xml:space="preserve">durch </w:t>
      </w:r>
      <w:proofErr w:type="gramStart"/>
      <w:r>
        <w:rPr>
          <w:rStyle w:val="CharacterStyle1"/>
          <w:sz w:val="22"/>
          <w:szCs w:val="22"/>
        </w:rPr>
        <w:t>die</w:t>
      </w:r>
      <w:proofErr w:type="gramEnd"/>
      <w:r>
        <w:rPr>
          <w:rStyle w:val="CharacterStyle1"/>
          <w:sz w:val="22"/>
          <w:szCs w:val="22"/>
        </w:rPr>
        <w:t xml:space="preserve"> BA, der Bereich Controlling und Fina</w:t>
      </w:r>
      <w:r>
        <w:rPr>
          <w:rStyle w:val="CharacterStyle1"/>
          <w:sz w:val="22"/>
          <w:szCs w:val="22"/>
        </w:rPr>
        <w:t>n</w:t>
      </w:r>
      <w:r>
        <w:rPr>
          <w:rStyle w:val="CharacterStyle1"/>
          <w:sz w:val="22"/>
          <w:szCs w:val="22"/>
        </w:rPr>
        <w:lastRenderedPageBreak/>
        <w:t>zen der BA-Zentrale in Nürnberg zeigte sich verantwortlich für die Gesamtsteuerung des Ford</w:t>
      </w:r>
      <w:r>
        <w:rPr>
          <w:rStyle w:val="CharacterStyle1"/>
          <w:sz w:val="22"/>
          <w:szCs w:val="22"/>
        </w:rPr>
        <w:t>e</w:t>
      </w:r>
      <w:r>
        <w:rPr>
          <w:rStyle w:val="CharacterStyle1"/>
          <w:sz w:val="22"/>
          <w:szCs w:val="22"/>
        </w:rPr>
        <w:t>rungsmanagements</w:t>
      </w:r>
      <w:r w:rsidR="00FD6070">
        <w:rPr>
          <w:rStyle w:val="CharacterStyle1"/>
          <w:sz w:val="22"/>
          <w:szCs w:val="22"/>
        </w:rPr>
        <w:t xml:space="preserve">. </w:t>
      </w:r>
      <w:r w:rsidR="000336E8">
        <w:rPr>
          <w:rStyle w:val="CharacterStyle1"/>
          <w:sz w:val="22"/>
          <w:szCs w:val="22"/>
        </w:rPr>
        <w:t>Mit dem Übergang in die zugelassene kommunale Trägerschaft in 2012 e</w:t>
      </w:r>
      <w:r w:rsidR="000336E8">
        <w:rPr>
          <w:rStyle w:val="CharacterStyle1"/>
          <w:sz w:val="22"/>
          <w:szCs w:val="22"/>
        </w:rPr>
        <w:t>r</w:t>
      </w:r>
      <w:r w:rsidR="000336E8">
        <w:rPr>
          <w:rStyle w:val="CharacterStyle1"/>
          <w:sz w:val="22"/>
          <w:szCs w:val="22"/>
        </w:rPr>
        <w:t>folgte</w:t>
      </w:r>
      <w:r w:rsidR="00F14532">
        <w:rPr>
          <w:rStyle w:val="CharacterStyle1"/>
          <w:sz w:val="22"/>
          <w:szCs w:val="22"/>
        </w:rPr>
        <w:t xml:space="preserve"> für den Einzug der Forderungen</w:t>
      </w:r>
      <w:r w:rsidR="00DC618B">
        <w:rPr>
          <w:rStyle w:val="CharacterStyle1"/>
          <w:sz w:val="22"/>
          <w:szCs w:val="22"/>
        </w:rPr>
        <w:t xml:space="preserve"> </w:t>
      </w:r>
      <w:r w:rsidR="00F14532">
        <w:rPr>
          <w:rStyle w:val="CharacterStyle1"/>
          <w:sz w:val="22"/>
          <w:szCs w:val="22"/>
        </w:rPr>
        <w:t xml:space="preserve">der </w:t>
      </w:r>
      <w:r w:rsidR="00DC618B">
        <w:rPr>
          <w:rStyle w:val="CharacterStyle1"/>
          <w:sz w:val="22"/>
          <w:szCs w:val="22"/>
        </w:rPr>
        <w:t>"</w:t>
      </w:r>
      <w:r w:rsidR="00F14532">
        <w:rPr>
          <w:rStyle w:val="CharacterStyle1"/>
          <w:sz w:val="22"/>
          <w:szCs w:val="22"/>
        </w:rPr>
        <w:t>Einkauf</w:t>
      </w:r>
      <w:r w:rsidR="00DC618B">
        <w:rPr>
          <w:rStyle w:val="CharacterStyle1"/>
          <w:sz w:val="22"/>
          <w:szCs w:val="22"/>
        </w:rPr>
        <w:t>"</w:t>
      </w:r>
      <w:r w:rsidR="00F14532">
        <w:rPr>
          <w:rStyle w:val="CharacterStyle1"/>
          <w:sz w:val="22"/>
          <w:szCs w:val="22"/>
        </w:rPr>
        <w:t xml:space="preserve"> der</w:t>
      </w:r>
      <w:r w:rsidR="00DC618B">
        <w:rPr>
          <w:rStyle w:val="CharacterStyle1"/>
          <w:sz w:val="22"/>
          <w:szCs w:val="22"/>
        </w:rPr>
        <w:t xml:space="preserve"> entsprechenden Serviceleistungen der Stadtkämmerei (Stadtkasse, Beitreibungsabteilung), d</w:t>
      </w:r>
      <w:r w:rsidR="00F14532">
        <w:rPr>
          <w:rStyle w:val="CharacterStyle1"/>
          <w:sz w:val="22"/>
          <w:szCs w:val="22"/>
        </w:rPr>
        <w:t>ie Notwendigkeit eines Forderungsmanag</w:t>
      </w:r>
      <w:r w:rsidR="00F14532">
        <w:rPr>
          <w:rStyle w:val="CharacterStyle1"/>
          <w:sz w:val="22"/>
          <w:szCs w:val="22"/>
        </w:rPr>
        <w:t>e</w:t>
      </w:r>
      <w:r w:rsidR="00F14532">
        <w:rPr>
          <w:rStyle w:val="CharacterStyle1"/>
          <w:sz w:val="22"/>
          <w:szCs w:val="22"/>
        </w:rPr>
        <w:t xml:space="preserve">ments </w:t>
      </w:r>
      <w:r w:rsidR="000336E8">
        <w:rPr>
          <w:rStyle w:val="CharacterStyle1"/>
          <w:sz w:val="22"/>
          <w:szCs w:val="22"/>
        </w:rPr>
        <w:t>wurde</w:t>
      </w:r>
      <w:r w:rsidR="00F14532">
        <w:rPr>
          <w:rStyle w:val="CharacterStyle1"/>
          <w:sz w:val="22"/>
          <w:szCs w:val="22"/>
        </w:rPr>
        <w:t xml:space="preserve"> zum damaligen Zeitpunkt </w:t>
      </w:r>
      <w:r w:rsidR="00DC618B">
        <w:rPr>
          <w:rStyle w:val="CharacterStyle1"/>
          <w:sz w:val="22"/>
          <w:szCs w:val="22"/>
        </w:rPr>
        <w:t xml:space="preserve">jedoch </w:t>
      </w:r>
      <w:r w:rsidR="00F14532">
        <w:rPr>
          <w:rStyle w:val="CharacterStyle1"/>
          <w:sz w:val="22"/>
          <w:szCs w:val="22"/>
        </w:rPr>
        <w:t>nicht erkannt</w:t>
      </w:r>
      <w:r w:rsidR="00DC618B">
        <w:rPr>
          <w:rStyle w:val="CharacterStyle1"/>
          <w:sz w:val="22"/>
          <w:szCs w:val="22"/>
        </w:rPr>
        <w:t>.</w:t>
      </w:r>
    </w:p>
    <w:p w:rsidR="00FD6070" w:rsidRDefault="00FD6070" w:rsidP="00F532DC">
      <w:pPr>
        <w:pStyle w:val="Default"/>
        <w:rPr>
          <w:rStyle w:val="CharacterStyle1"/>
          <w:sz w:val="22"/>
          <w:szCs w:val="22"/>
        </w:rPr>
      </w:pPr>
    </w:p>
    <w:p w:rsidR="00F532DC" w:rsidRPr="00221DFF" w:rsidRDefault="00FD6070" w:rsidP="00F532DC">
      <w:pPr>
        <w:pStyle w:val="Default"/>
        <w:rPr>
          <w:rStyle w:val="CharacterStyle1"/>
          <w:sz w:val="22"/>
          <w:szCs w:val="22"/>
        </w:rPr>
      </w:pPr>
      <w:r>
        <w:rPr>
          <w:rStyle w:val="CharacterStyle1"/>
          <w:sz w:val="22"/>
          <w:szCs w:val="22"/>
        </w:rPr>
        <w:t xml:space="preserve">Die Aufgabenwahrnehmung erfolgt </w:t>
      </w:r>
      <w:r w:rsidRPr="00C464F6">
        <w:rPr>
          <w:rStyle w:val="CharacterStyle1"/>
          <w:sz w:val="22"/>
          <w:szCs w:val="22"/>
        </w:rPr>
        <w:t>bislang in Teilen</w:t>
      </w:r>
      <w:r>
        <w:rPr>
          <w:rStyle w:val="CharacterStyle1"/>
          <w:sz w:val="22"/>
          <w:szCs w:val="22"/>
        </w:rPr>
        <w:t xml:space="preserve"> aus P</w:t>
      </w:r>
      <w:r w:rsidR="00DC618B">
        <w:rPr>
          <w:rStyle w:val="CharacterStyle1"/>
          <w:sz w:val="22"/>
          <w:szCs w:val="22"/>
        </w:rPr>
        <w:t>ersonalressourcen</w:t>
      </w:r>
      <w:r w:rsidR="00C464F6">
        <w:rPr>
          <w:rStyle w:val="CharacterStyle1"/>
          <w:sz w:val="22"/>
          <w:szCs w:val="22"/>
        </w:rPr>
        <w:t xml:space="preserve">, die </w:t>
      </w:r>
      <w:r>
        <w:rPr>
          <w:rStyle w:val="CharacterStyle1"/>
          <w:sz w:val="22"/>
          <w:szCs w:val="22"/>
        </w:rPr>
        <w:t>für andere Au</w:t>
      </w:r>
      <w:r>
        <w:rPr>
          <w:rStyle w:val="CharacterStyle1"/>
          <w:sz w:val="22"/>
          <w:szCs w:val="22"/>
        </w:rPr>
        <w:t>f</w:t>
      </w:r>
      <w:r>
        <w:rPr>
          <w:rStyle w:val="CharacterStyle1"/>
          <w:sz w:val="22"/>
          <w:szCs w:val="22"/>
        </w:rPr>
        <w:t>gabenbereiche</w:t>
      </w:r>
      <w:r w:rsidR="00C464F6">
        <w:rPr>
          <w:rStyle w:val="CharacterStyle1"/>
          <w:sz w:val="22"/>
          <w:szCs w:val="22"/>
        </w:rPr>
        <w:t xml:space="preserve"> zur Verfügung gestellt sind. A</w:t>
      </w:r>
      <w:r>
        <w:rPr>
          <w:rStyle w:val="CharacterStyle1"/>
          <w:sz w:val="22"/>
          <w:szCs w:val="22"/>
        </w:rPr>
        <w:t>ngesichts der Komplexität und der hohen Anford</w:t>
      </w:r>
      <w:r>
        <w:rPr>
          <w:rStyle w:val="CharacterStyle1"/>
          <w:sz w:val="22"/>
          <w:szCs w:val="22"/>
        </w:rPr>
        <w:t>e</w:t>
      </w:r>
      <w:r>
        <w:rPr>
          <w:rStyle w:val="CharacterStyle1"/>
          <w:sz w:val="22"/>
          <w:szCs w:val="22"/>
        </w:rPr>
        <w:t>rungen</w:t>
      </w:r>
      <w:r w:rsidR="00C464F6">
        <w:rPr>
          <w:rStyle w:val="CharacterStyle1"/>
          <w:sz w:val="22"/>
          <w:szCs w:val="22"/>
        </w:rPr>
        <w:t xml:space="preserve"> im Bereich des Forderungsmanagements lässt sich damit jedoch kein zufriedenstellendes Arbeitsergebnis erzielen. Dies hat sich in den vergangenen Jahren auch immer wieder durch St</w:t>
      </w:r>
      <w:r w:rsidR="00C464F6">
        <w:rPr>
          <w:rStyle w:val="CharacterStyle1"/>
          <w:sz w:val="22"/>
          <w:szCs w:val="22"/>
        </w:rPr>
        <w:t>ö</w:t>
      </w:r>
      <w:r w:rsidR="00C464F6">
        <w:rPr>
          <w:rStyle w:val="CharacterStyle1"/>
          <w:sz w:val="22"/>
          <w:szCs w:val="22"/>
        </w:rPr>
        <w:t xml:space="preserve">rungen in den Prozessen und Verzögerungen im Ablauf und bei der Bearbeitung </w:t>
      </w:r>
      <w:r w:rsidR="00FB616D">
        <w:rPr>
          <w:rStyle w:val="CharacterStyle1"/>
          <w:sz w:val="22"/>
          <w:szCs w:val="22"/>
        </w:rPr>
        <w:t>von Vorgängen gezeigt. Ein großer Teil der oben aufgeführten Aufgaben konnte bisher noch gar nicht angegangen werden.</w:t>
      </w:r>
    </w:p>
    <w:p w:rsidR="008B2003" w:rsidRPr="00221DFF" w:rsidRDefault="008B2003" w:rsidP="00F532DC">
      <w:pPr>
        <w:pStyle w:val="Default"/>
        <w:rPr>
          <w:rStyle w:val="CharacterStyle1"/>
          <w:sz w:val="22"/>
          <w:szCs w:val="22"/>
        </w:rPr>
      </w:pPr>
    </w:p>
    <w:p w:rsidR="00221DFF" w:rsidRPr="00FB616D" w:rsidRDefault="00221DFF" w:rsidP="00FB616D">
      <w:pPr>
        <w:pStyle w:val="Style1"/>
        <w:kinsoku w:val="0"/>
        <w:overflowPunct w:val="0"/>
        <w:autoSpaceDE/>
        <w:autoSpaceDN/>
        <w:adjustRightInd/>
        <w:spacing w:before="279" w:line="277" w:lineRule="exact"/>
        <w:ind w:right="289"/>
        <w:textAlignment w:val="baseline"/>
        <w:rPr>
          <w:rFonts w:ascii="Arial" w:hAnsi="Arial" w:cs="Arial"/>
          <w:b/>
          <w:color w:val="000000"/>
          <w:sz w:val="22"/>
          <w:szCs w:val="22"/>
        </w:rPr>
      </w:pPr>
      <w:r w:rsidRPr="00FB616D">
        <w:rPr>
          <w:rFonts w:ascii="Arial" w:hAnsi="Arial" w:cs="Arial"/>
          <w:b/>
          <w:color w:val="000000"/>
          <w:sz w:val="22"/>
          <w:szCs w:val="22"/>
        </w:rPr>
        <w:t>3.3 Auswirkungen bei Ablehnung der Stellenschaffungen</w:t>
      </w:r>
    </w:p>
    <w:p w:rsidR="00221DFF" w:rsidRPr="00221DFF" w:rsidRDefault="00221DFF" w:rsidP="00221DFF">
      <w:pPr>
        <w:rPr>
          <w:rFonts w:cs="Arial"/>
          <w:sz w:val="22"/>
          <w:szCs w:val="22"/>
        </w:rPr>
      </w:pPr>
    </w:p>
    <w:p w:rsidR="00627349" w:rsidRPr="006D7BEF" w:rsidRDefault="00D43D85" w:rsidP="00221DFF">
      <w:pPr>
        <w:tabs>
          <w:tab w:val="left" w:pos="4678"/>
          <w:tab w:val="left" w:pos="5954"/>
        </w:tabs>
        <w:rPr>
          <w:rFonts w:cs="Arial"/>
          <w:sz w:val="22"/>
          <w:szCs w:val="22"/>
        </w:rPr>
      </w:pPr>
      <w:r w:rsidRPr="006D7BEF">
        <w:rPr>
          <w:rFonts w:cs="Arial"/>
          <w:sz w:val="22"/>
          <w:szCs w:val="22"/>
        </w:rPr>
        <w:t xml:space="preserve">Ein </w:t>
      </w:r>
      <w:r w:rsidR="00627349" w:rsidRPr="006D7BEF">
        <w:rPr>
          <w:rFonts w:cs="Arial"/>
          <w:sz w:val="22"/>
          <w:szCs w:val="22"/>
        </w:rPr>
        <w:t xml:space="preserve">nachhaltiges und </w:t>
      </w:r>
      <w:r w:rsidRPr="006D7BEF">
        <w:rPr>
          <w:rFonts w:cs="Arial"/>
          <w:sz w:val="22"/>
          <w:szCs w:val="22"/>
        </w:rPr>
        <w:t>effektives Forderungsmanagement beinhaltet erhebliches Optimierungsp</w:t>
      </w:r>
      <w:r w:rsidRPr="006D7BEF">
        <w:rPr>
          <w:rFonts w:cs="Arial"/>
          <w:sz w:val="22"/>
          <w:szCs w:val="22"/>
        </w:rPr>
        <w:t>o</w:t>
      </w:r>
      <w:r w:rsidRPr="006D7BEF">
        <w:rPr>
          <w:rFonts w:cs="Arial"/>
          <w:sz w:val="22"/>
          <w:szCs w:val="22"/>
        </w:rPr>
        <w:t xml:space="preserve">tential zur Reduzierung der offenen Forderungen und </w:t>
      </w:r>
      <w:r w:rsidR="00736A52" w:rsidRPr="006D7BEF">
        <w:rPr>
          <w:rFonts w:cs="Arial"/>
          <w:sz w:val="22"/>
          <w:szCs w:val="22"/>
        </w:rPr>
        <w:t xml:space="preserve">zur </w:t>
      </w:r>
      <w:r w:rsidRPr="006D7BEF">
        <w:rPr>
          <w:rFonts w:cs="Arial"/>
          <w:sz w:val="22"/>
          <w:szCs w:val="22"/>
        </w:rPr>
        <w:t>Beschleunigung de</w:t>
      </w:r>
      <w:r w:rsidR="00736A52" w:rsidRPr="006D7BEF">
        <w:rPr>
          <w:rFonts w:cs="Arial"/>
          <w:sz w:val="22"/>
          <w:szCs w:val="22"/>
        </w:rPr>
        <w:t xml:space="preserve">r </w:t>
      </w:r>
      <w:r w:rsidRPr="006D7BEF">
        <w:rPr>
          <w:rFonts w:cs="Arial"/>
          <w:sz w:val="22"/>
          <w:szCs w:val="22"/>
        </w:rPr>
        <w:t>Bearbeitungsverfa</w:t>
      </w:r>
      <w:r w:rsidRPr="006D7BEF">
        <w:rPr>
          <w:rFonts w:cs="Arial"/>
          <w:sz w:val="22"/>
          <w:szCs w:val="22"/>
        </w:rPr>
        <w:t>h</w:t>
      </w:r>
      <w:r w:rsidRPr="006D7BEF">
        <w:rPr>
          <w:rFonts w:cs="Arial"/>
          <w:sz w:val="22"/>
          <w:szCs w:val="22"/>
        </w:rPr>
        <w:t>ren</w:t>
      </w:r>
      <w:r w:rsidR="00736A52" w:rsidRPr="006D7BEF">
        <w:rPr>
          <w:rFonts w:cs="Arial"/>
          <w:sz w:val="22"/>
          <w:szCs w:val="22"/>
        </w:rPr>
        <w:t>.</w:t>
      </w:r>
      <w:r w:rsidR="00704E40" w:rsidRPr="006D7BEF">
        <w:rPr>
          <w:rFonts w:cs="Arial"/>
          <w:sz w:val="22"/>
          <w:szCs w:val="22"/>
        </w:rPr>
        <w:t xml:space="preserve"> </w:t>
      </w:r>
      <w:r w:rsidRPr="006D7BEF">
        <w:rPr>
          <w:rFonts w:cs="Arial"/>
          <w:sz w:val="22"/>
          <w:szCs w:val="22"/>
        </w:rPr>
        <w:t xml:space="preserve">Bereits durch entsprechende </w:t>
      </w:r>
      <w:r w:rsidR="00627349" w:rsidRPr="006D7BEF">
        <w:rPr>
          <w:rFonts w:cs="Arial"/>
          <w:sz w:val="22"/>
          <w:szCs w:val="22"/>
        </w:rPr>
        <w:t>"</w:t>
      </w:r>
      <w:r w:rsidRPr="006D7BEF">
        <w:rPr>
          <w:rFonts w:cs="Arial"/>
          <w:sz w:val="22"/>
          <w:szCs w:val="22"/>
        </w:rPr>
        <w:t>Vorarbeiten</w:t>
      </w:r>
      <w:r w:rsidR="00627349" w:rsidRPr="006D7BEF">
        <w:rPr>
          <w:rFonts w:cs="Arial"/>
          <w:sz w:val="22"/>
          <w:szCs w:val="22"/>
        </w:rPr>
        <w:t>"</w:t>
      </w:r>
      <w:r w:rsidRPr="006D7BEF">
        <w:rPr>
          <w:rFonts w:cs="Arial"/>
          <w:sz w:val="22"/>
          <w:szCs w:val="22"/>
        </w:rPr>
        <w:t xml:space="preserve"> bei der Entstehung der Forderung kann eventue</w:t>
      </w:r>
      <w:r w:rsidRPr="006D7BEF">
        <w:rPr>
          <w:rFonts w:cs="Arial"/>
          <w:sz w:val="22"/>
          <w:szCs w:val="22"/>
        </w:rPr>
        <w:t>l</w:t>
      </w:r>
      <w:r w:rsidRPr="006D7BEF">
        <w:rPr>
          <w:rFonts w:cs="Arial"/>
          <w:sz w:val="22"/>
          <w:szCs w:val="22"/>
        </w:rPr>
        <w:t>len Ausfällen gegengesteuert werden. Ein</w:t>
      </w:r>
      <w:r w:rsidR="00736A52" w:rsidRPr="006D7BEF">
        <w:rPr>
          <w:rFonts w:cs="Arial"/>
          <w:sz w:val="22"/>
          <w:szCs w:val="22"/>
        </w:rPr>
        <w:t xml:space="preserve"> erfolgreiches Zusammenspiel der beteiligten Organisat</w:t>
      </w:r>
      <w:r w:rsidR="00736A52" w:rsidRPr="006D7BEF">
        <w:rPr>
          <w:rFonts w:cs="Arial"/>
          <w:sz w:val="22"/>
          <w:szCs w:val="22"/>
        </w:rPr>
        <w:t>i</w:t>
      </w:r>
      <w:r w:rsidR="00736A52" w:rsidRPr="006D7BEF">
        <w:rPr>
          <w:rFonts w:cs="Arial"/>
          <w:sz w:val="22"/>
          <w:szCs w:val="22"/>
        </w:rPr>
        <w:t xml:space="preserve">onseinheiten, </w:t>
      </w:r>
      <w:r w:rsidRPr="006D7BEF">
        <w:rPr>
          <w:rFonts w:cs="Arial"/>
          <w:sz w:val="22"/>
          <w:szCs w:val="22"/>
        </w:rPr>
        <w:t xml:space="preserve">zügiges Handeln und ein optimaler Informationsfluss tragen </w:t>
      </w:r>
      <w:r w:rsidR="00627349" w:rsidRPr="006D7BEF">
        <w:rPr>
          <w:rFonts w:cs="Arial"/>
          <w:sz w:val="22"/>
          <w:szCs w:val="22"/>
        </w:rPr>
        <w:t xml:space="preserve">wesentlich </w:t>
      </w:r>
      <w:r w:rsidRPr="006D7BEF">
        <w:rPr>
          <w:rFonts w:cs="Arial"/>
          <w:sz w:val="22"/>
          <w:szCs w:val="22"/>
        </w:rPr>
        <w:t>zur erfolgre</w:t>
      </w:r>
      <w:r w:rsidRPr="006D7BEF">
        <w:rPr>
          <w:rFonts w:cs="Arial"/>
          <w:sz w:val="22"/>
          <w:szCs w:val="22"/>
        </w:rPr>
        <w:t>i</w:t>
      </w:r>
      <w:r w:rsidRPr="006D7BEF">
        <w:rPr>
          <w:rFonts w:cs="Arial"/>
          <w:sz w:val="22"/>
          <w:szCs w:val="22"/>
        </w:rPr>
        <w:t>chen Durchsetzung der Forderung bei</w:t>
      </w:r>
      <w:r w:rsidR="00627349" w:rsidRPr="006D7BEF">
        <w:rPr>
          <w:rFonts w:cs="Arial"/>
          <w:sz w:val="22"/>
          <w:szCs w:val="22"/>
        </w:rPr>
        <w:t>.</w:t>
      </w:r>
    </w:p>
    <w:p w:rsidR="00627349" w:rsidRPr="006D7BEF" w:rsidRDefault="00627349" w:rsidP="00221DFF">
      <w:pPr>
        <w:tabs>
          <w:tab w:val="left" w:pos="4678"/>
          <w:tab w:val="left" w:pos="5954"/>
        </w:tabs>
        <w:rPr>
          <w:rFonts w:cs="Arial"/>
          <w:sz w:val="22"/>
          <w:szCs w:val="22"/>
        </w:rPr>
      </w:pPr>
    </w:p>
    <w:p w:rsidR="00221DFF" w:rsidRPr="006D7BEF" w:rsidRDefault="00221DFF" w:rsidP="00B02E9B">
      <w:pPr>
        <w:tabs>
          <w:tab w:val="left" w:pos="4678"/>
          <w:tab w:val="left" w:pos="5954"/>
        </w:tabs>
        <w:rPr>
          <w:rFonts w:cs="Arial"/>
          <w:sz w:val="22"/>
          <w:szCs w:val="22"/>
        </w:rPr>
      </w:pPr>
      <w:r w:rsidRPr="006D7BEF">
        <w:rPr>
          <w:rFonts w:cs="Arial"/>
          <w:sz w:val="22"/>
          <w:szCs w:val="22"/>
        </w:rPr>
        <w:t>Im Falle einer Ablehnung der beantragten Stellenschaffung</w:t>
      </w:r>
      <w:r w:rsidR="00627349" w:rsidRPr="006D7BEF">
        <w:rPr>
          <w:rFonts w:cs="Arial"/>
          <w:sz w:val="22"/>
          <w:szCs w:val="22"/>
        </w:rPr>
        <w:t xml:space="preserve"> kann dies nicht </w:t>
      </w:r>
      <w:r w:rsidRPr="006D7BEF">
        <w:rPr>
          <w:rFonts w:cs="Arial"/>
          <w:sz w:val="22"/>
          <w:szCs w:val="22"/>
        </w:rPr>
        <w:t>gewährleistet</w:t>
      </w:r>
      <w:r w:rsidR="00627349" w:rsidRPr="006D7BEF">
        <w:rPr>
          <w:rFonts w:cs="Arial"/>
          <w:sz w:val="22"/>
          <w:szCs w:val="22"/>
        </w:rPr>
        <w:t xml:space="preserve"> werden</w:t>
      </w:r>
      <w:r w:rsidR="00736A52" w:rsidRPr="006D7BEF">
        <w:rPr>
          <w:rFonts w:cs="Arial"/>
          <w:sz w:val="22"/>
          <w:szCs w:val="22"/>
        </w:rPr>
        <w:t>. Es besteht die Gefahr, dass Einnahmen nicht</w:t>
      </w:r>
      <w:r w:rsidR="00B02E9B" w:rsidRPr="006D7BEF">
        <w:rPr>
          <w:rFonts w:cs="Arial"/>
          <w:sz w:val="22"/>
          <w:szCs w:val="22"/>
        </w:rPr>
        <w:t xml:space="preserve">, nicht vollständig </w:t>
      </w:r>
      <w:r w:rsidR="00736A52" w:rsidRPr="006D7BEF">
        <w:rPr>
          <w:rFonts w:cs="Arial"/>
          <w:sz w:val="22"/>
          <w:szCs w:val="22"/>
        </w:rPr>
        <w:t>oder nicht rechtzeitig realisiert we</w:t>
      </w:r>
      <w:r w:rsidR="00736A52" w:rsidRPr="006D7BEF">
        <w:rPr>
          <w:rFonts w:cs="Arial"/>
          <w:sz w:val="22"/>
          <w:szCs w:val="22"/>
        </w:rPr>
        <w:t>r</w:t>
      </w:r>
      <w:r w:rsidR="00736A52" w:rsidRPr="006D7BEF">
        <w:rPr>
          <w:rFonts w:cs="Arial"/>
          <w:sz w:val="22"/>
          <w:szCs w:val="22"/>
        </w:rPr>
        <w:t xml:space="preserve">den </w:t>
      </w:r>
      <w:r w:rsidR="00933112" w:rsidRPr="006D7BEF">
        <w:rPr>
          <w:rFonts w:cs="Arial"/>
          <w:sz w:val="22"/>
          <w:szCs w:val="22"/>
        </w:rPr>
        <w:t xml:space="preserve">können </w:t>
      </w:r>
      <w:r w:rsidR="00736A52" w:rsidRPr="006D7BEF">
        <w:rPr>
          <w:rFonts w:cs="Arial"/>
          <w:sz w:val="22"/>
          <w:szCs w:val="22"/>
        </w:rPr>
        <w:t xml:space="preserve">oder Forderungen verjähren. </w:t>
      </w:r>
      <w:r w:rsidR="00B02E9B" w:rsidRPr="006D7BEF">
        <w:rPr>
          <w:rFonts w:cs="Arial"/>
          <w:sz w:val="22"/>
          <w:szCs w:val="22"/>
        </w:rPr>
        <w:t>Dies hätte unmittelbar einen kommunalen Einnahmeve</w:t>
      </w:r>
      <w:r w:rsidR="00B02E9B" w:rsidRPr="006D7BEF">
        <w:rPr>
          <w:rFonts w:cs="Arial"/>
          <w:sz w:val="22"/>
          <w:szCs w:val="22"/>
        </w:rPr>
        <w:t>r</w:t>
      </w:r>
      <w:r w:rsidR="00B02E9B" w:rsidRPr="006D7BEF">
        <w:rPr>
          <w:rFonts w:cs="Arial"/>
          <w:sz w:val="22"/>
          <w:szCs w:val="22"/>
        </w:rPr>
        <w:t>lust zur Folge, im Falle der Rückforderung von Bundesleistungen könnten ggf. Regressansprüche des Bundes entstehen.</w:t>
      </w:r>
    </w:p>
    <w:p w:rsidR="00B523C2" w:rsidRPr="00221DFF" w:rsidRDefault="00B523C2" w:rsidP="00B02E9B">
      <w:pPr>
        <w:pStyle w:val="berschrift1"/>
        <w:rPr>
          <w:rFonts w:cs="Arial"/>
          <w:sz w:val="22"/>
          <w:szCs w:val="22"/>
        </w:rPr>
      </w:pPr>
      <w:r w:rsidRPr="00221DFF">
        <w:rPr>
          <w:rFonts w:cs="Arial"/>
          <w:sz w:val="22"/>
          <w:szCs w:val="22"/>
        </w:rPr>
        <w:t>4</w:t>
      </w:r>
      <w:r w:rsidR="00786EA1" w:rsidRPr="00221DFF">
        <w:rPr>
          <w:rFonts w:cs="Arial"/>
          <w:sz w:val="22"/>
          <w:szCs w:val="22"/>
        </w:rPr>
        <w:t>.</w:t>
      </w:r>
      <w:r w:rsidRPr="00221DFF">
        <w:rPr>
          <w:rFonts w:cs="Arial"/>
          <w:sz w:val="22"/>
          <w:szCs w:val="22"/>
        </w:rPr>
        <w:tab/>
        <w:t>Stellenvermerke</w:t>
      </w:r>
    </w:p>
    <w:p w:rsidR="009405FE" w:rsidRDefault="009405FE" w:rsidP="003571D1">
      <w:pPr>
        <w:pStyle w:val="Default"/>
        <w:rPr>
          <w:rStyle w:val="CharacterStyle1"/>
          <w:color w:val="auto"/>
          <w:sz w:val="22"/>
          <w:szCs w:val="22"/>
        </w:rPr>
      </w:pPr>
    </w:p>
    <w:p w:rsidR="0053750A" w:rsidRDefault="0053750A" w:rsidP="003571D1">
      <w:pPr>
        <w:pStyle w:val="Default"/>
        <w:rPr>
          <w:b/>
          <w:sz w:val="22"/>
          <w:szCs w:val="22"/>
          <w:u w:val="single"/>
        </w:rPr>
      </w:pPr>
      <w:r>
        <w:rPr>
          <w:rStyle w:val="CharacterStyle1"/>
          <w:color w:val="auto"/>
          <w:sz w:val="22"/>
          <w:szCs w:val="22"/>
        </w:rPr>
        <w:t>KW 01/2020</w:t>
      </w:r>
    </w:p>
    <w:p w:rsidR="00CE2770" w:rsidRPr="00221DFF" w:rsidRDefault="00CE2770" w:rsidP="003571D1">
      <w:pPr>
        <w:pStyle w:val="Default"/>
        <w:rPr>
          <w:b/>
          <w:sz w:val="22"/>
          <w:szCs w:val="22"/>
          <w:u w:val="single"/>
        </w:rPr>
      </w:pPr>
    </w:p>
    <w:sectPr w:rsidR="00CE2770" w:rsidRPr="00221DFF" w:rsidSect="004B13CC">
      <w:headerReference w:type="default" r:id="rId8"/>
      <w:pgSz w:w="11907" w:h="16840" w:code="9"/>
      <w:pgMar w:top="1418" w:right="992" w:bottom="1418" w:left="1276"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BEF" w:rsidRDefault="006D7BEF">
      <w:r>
        <w:separator/>
      </w:r>
    </w:p>
  </w:endnote>
  <w:endnote w:type="continuationSeparator" w:id="0">
    <w:p w:rsidR="006D7BEF" w:rsidRDefault="006D7BE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BEF" w:rsidRDefault="006D7BEF">
      <w:r>
        <w:separator/>
      </w:r>
    </w:p>
  </w:footnote>
  <w:footnote w:type="continuationSeparator" w:id="0">
    <w:p w:rsidR="006D7BEF" w:rsidRDefault="006D7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EF" w:rsidRDefault="006D7BEF">
    <w:pPr>
      <w:framePr w:wrap="around" w:vAnchor="page" w:hAnchor="page" w:xAlign="center" w:y="710"/>
      <w:rPr>
        <w:rStyle w:val="Seitenzahl"/>
      </w:rPr>
    </w:pPr>
    <w:r>
      <w:rPr>
        <w:rStyle w:val="Seitenzahl"/>
      </w:rPr>
      <w:t xml:space="preserve">- </w:t>
    </w:r>
    <w:r w:rsidR="001717EB">
      <w:rPr>
        <w:rStyle w:val="Seitenzahl"/>
      </w:rPr>
      <w:fldChar w:fldCharType="begin"/>
    </w:r>
    <w:r>
      <w:rPr>
        <w:rStyle w:val="Seitenzahl"/>
      </w:rPr>
      <w:instrText xml:space="preserve"> PAGE </w:instrText>
    </w:r>
    <w:r w:rsidR="001717EB">
      <w:rPr>
        <w:rStyle w:val="Seitenzahl"/>
      </w:rPr>
      <w:fldChar w:fldCharType="separate"/>
    </w:r>
    <w:r w:rsidR="0053750A">
      <w:rPr>
        <w:rStyle w:val="Seitenzahl"/>
        <w:noProof/>
      </w:rPr>
      <w:t>2</w:t>
    </w:r>
    <w:r w:rsidR="001717EB">
      <w:rPr>
        <w:rStyle w:val="Seitenzahl"/>
      </w:rPr>
      <w:fldChar w:fldCharType="end"/>
    </w:r>
    <w:r>
      <w:rPr>
        <w:rStyle w:val="Seitenzahl"/>
      </w:rPr>
      <w:t xml:space="preserve"> -</w:t>
    </w:r>
  </w:p>
  <w:p w:rsidR="006D7BEF" w:rsidRDefault="006D7BE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807AE"/>
    <w:multiLevelType w:val="singleLevel"/>
    <w:tmpl w:val="31FA3752"/>
    <w:lvl w:ilvl="0">
      <w:start w:val="1"/>
      <w:numFmt w:val="decimal"/>
      <w:lvlText w:val="%1."/>
      <w:lvlJc w:val="left"/>
      <w:pPr>
        <w:tabs>
          <w:tab w:val="num" w:pos="1512"/>
        </w:tabs>
        <w:ind w:left="1440" w:hanging="288"/>
      </w:pPr>
      <w:rPr>
        <w:rFonts w:ascii="Arial" w:hAnsi="Arial" w:cs="Arial"/>
        <w:snapToGrid/>
        <w:spacing w:val="4"/>
        <w:sz w:val="23"/>
        <w:szCs w:val="23"/>
      </w:rPr>
    </w:lvl>
  </w:abstractNum>
  <w:abstractNum w:abstractNumId="2">
    <w:nsid w:val="024269DB"/>
    <w:multiLevelType w:val="singleLevel"/>
    <w:tmpl w:val="0E9AC303"/>
    <w:lvl w:ilvl="0">
      <w:start w:val="1"/>
      <w:numFmt w:val="decimal"/>
      <w:lvlText w:val="%1."/>
      <w:lvlJc w:val="left"/>
      <w:pPr>
        <w:tabs>
          <w:tab w:val="num" w:pos="1008"/>
        </w:tabs>
        <w:ind w:left="504"/>
      </w:pPr>
      <w:rPr>
        <w:rFonts w:ascii="Arial" w:hAnsi="Arial" w:cs="Arial"/>
        <w:snapToGrid/>
        <w:spacing w:val="2"/>
        <w:sz w:val="23"/>
        <w:szCs w:val="23"/>
      </w:rPr>
    </w:lvl>
  </w:abstractNum>
  <w:abstractNum w:abstractNumId="3">
    <w:nsid w:val="028E3A28"/>
    <w:multiLevelType w:val="hybridMultilevel"/>
    <w:tmpl w:val="AAB0D5A4"/>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E1B1F5"/>
    <w:multiLevelType w:val="singleLevel"/>
    <w:tmpl w:val="1E78C8F0"/>
    <w:lvl w:ilvl="0">
      <w:start w:val="2"/>
      <w:numFmt w:val="lowerLetter"/>
      <w:lvlText w:val="%1)"/>
      <w:lvlJc w:val="left"/>
      <w:pPr>
        <w:tabs>
          <w:tab w:val="num" w:pos="504"/>
        </w:tabs>
        <w:ind w:left="504" w:hanging="432"/>
      </w:pPr>
      <w:rPr>
        <w:rFonts w:ascii="Arial" w:hAnsi="Arial" w:cs="Arial"/>
        <w:snapToGrid/>
        <w:spacing w:val="5"/>
        <w:sz w:val="23"/>
        <w:szCs w:val="23"/>
      </w:rPr>
    </w:lvl>
  </w:abstractNum>
  <w:abstractNum w:abstractNumId="5">
    <w:nsid w:val="07727A8F"/>
    <w:multiLevelType w:val="singleLevel"/>
    <w:tmpl w:val="095B80B0"/>
    <w:lvl w:ilvl="0">
      <w:start w:val="1"/>
      <w:numFmt w:val="decimal"/>
      <w:lvlText w:val="%1."/>
      <w:lvlJc w:val="left"/>
      <w:pPr>
        <w:tabs>
          <w:tab w:val="num" w:pos="1512"/>
        </w:tabs>
        <w:ind w:left="1440" w:hanging="288"/>
      </w:pPr>
      <w:rPr>
        <w:rFonts w:ascii="Arial" w:hAnsi="Arial" w:cs="Arial"/>
        <w:snapToGrid/>
        <w:sz w:val="23"/>
        <w:szCs w:val="23"/>
      </w:rPr>
    </w:lvl>
  </w:abstractNum>
  <w:abstractNum w:abstractNumId="6">
    <w:nsid w:val="0ADF428B"/>
    <w:multiLevelType w:val="multilevel"/>
    <w:tmpl w:val="FBCA1548"/>
    <w:lvl w:ilvl="0">
      <w:start w:val="1"/>
      <w:numFmt w:val="bullet"/>
      <w:lvlText w:val=""/>
      <w:lvlJc w:val="left"/>
      <w:pPr>
        <w:tabs>
          <w:tab w:val="num" w:pos="397"/>
        </w:tabs>
        <w:ind w:left="397" w:hanging="397"/>
      </w:pPr>
      <w:rPr>
        <w:rFonts w:ascii="Wingdings" w:hAnsi="Wingding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0507C7A"/>
    <w:multiLevelType w:val="multilevel"/>
    <w:tmpl w:val="203AAD8C"/>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23E034A"/>
    <w:multiLevelType w:val="multilevel"/>
    <w:tmpl w:val="A7DAD37A"/>
    <w:lvl w:ilvl="0">
      <w:start w:val="1"/>
      <w:numFmt w:val="decimal"/>
      <w:lvlText w:val="%1."/>
      <w:lvlJc w:val="left"/>
      <w:pPr>
        <w:ind w:left="36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608" w:hanging="1800"/>
      </w:pPr>
      <w:rPr>
        <w:rFonts w:hint="default"/>
      </w:rPr>
    </w:lvl>
  </w:abstractNum>
  <w:abstractNum w:abstractNumId="9">
    <w:nsid w:val="12742686"/>
    <w:multiLevelType w:val="hybridMultilevel"/>
    <w:tmpl w:val="5BD8F8D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5947A9D"/>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9254875"/>
    <w:multiLevelType w:val="singleLevel"/>
    <w:tmpl w:val="C8D2C306"/>
    <w:lvl w:ilvl="0">
      <w:start w:val="4"/>
      <w:numFmt w:val="decimal"/>
      <w:lvlText w:val="%1."/>
      <w:legacy w:legacy="1" w:legacySpace="0" w:legacyIndent="420"/>
      <w:lvlJc w:val="left"/>
      <w:pPr>
        <w:ind w:left="420" w:hanging="420"/>
      </w:pPr>
    </w:lvl>
  </w:abstractNum>
  <w:abstractNum w:abstractNumId="12">
    <w:nsid w:val="1A3349DA"/>
    <w:multiLevelType w:val="hybridMultilevel"/>
    <w:tmpl w:val="C3E83DC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4">
    <w:nsid w:val="2B6159A2"/>
    <w:multiLevelType w:val="hybridMultilevel"/>
    <w:tmpl w:val="2F0A00DA"/>
    <w:lvl w:ilvl="0" w:tplc="1E78C8F0">
      <w:start w:val="2"/>
      <w:numFmt w:val="lowerLetter"/>
      <w:lvlText w:val="%1)"/>
      <w:lvlJc w:val="left"/>
      <w:pPr>
        <w:ind w:left="792" w:hanging="360"/>
      </w:pPr>
      <w:rPr>
        <w:rFonts w:ascii="Arial" w:hAnsi="Arial" w:cs="Arial"/>
        <w:snapToGrid/>
        <w:spacing w:val="5"/>
        <w:sz w:val="23"/>
        <w:szCs w:val="23"/>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15">
    <w:nsid w:val="2D2C2DE9"/>
    <w:multiLevelType w:val="multilevel"/>
    <w:tmpl w:val="B4CEFA22"/>
    <w:lvl w:ilvl="0">
      <w:start w:val="1"/>
      <w:numFmt w:val="lowerLetter"/>
      <w:lvlText w:val="%1"/>
      <w:lvlJc w:val="left"/>
      <w:pPr>
        <w:tabs>
          <w:tab w:val="num" w:pos="397"/>
        </w:tabs>
        <w:ind w:left="397" w:hanging="397"/>
      </w:pPr>
      <w:rPr>
        <w:rFonts w:hint="default"/>
      </w:rPr>
    </w:lvl>
    <w:lvl w:ilvl="1">
      <w:start w:val="1"/>
      <w:numFmt w:val="ordinal"/>
      <w:lvlText w:val="%2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E5D6816"/>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0E9149E"/>
    <w:multiLevelType w:val="hybridMultilevel"/>
    <w:tmpl w:val="42A05F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18152D9"/>
    <w:multiLevelType w:val="hybridMultilevel"/>
    <w:tmpl w:val="2CF4F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4393757"/>
    <w:multiLevelType w:val="hybridMultilevel"/>
    <w:tmpl w:val="8B8C23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366B714A"/>
    <w:multiLevelType w:val="multilevel"/>
    <w:tmpl w:val="620AA6FE"/>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1531"/>
        </w:tabs>
        <w:ind w:left="1531" w:hanging="1134"/>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6AB75B4"/>
    <w:multiLevelType w:val="hybridMultilevel"/>
    <w:tmpl w:val="9020B4BA"/>
    <w:lvl w:ilvl="0" w:tplc="0AC22EEA">
      <w:numFmt w:val="bullet"/>
      <w:lvlText w:val=""/>
      <w:lvlJc w:val="left"/>
      <w:pPr>
        <w:tabs>
          <w:tab w:val="num" w:pos="397"/>
        </w:tabs>
        <w:ind w:left="397" w:hanging="397"/>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3E5D2BB2"/>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031471F"/>
    <w:multiLevelType w:val="multilevel"/>
    <w:tmpl w:val="3132D93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191" w:hanging="79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0D85878"/>
    <w:multiLevelType w:val="hybridMultilevel"/>
    <w:tmpl w:val="9DE0030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1FD5305"/>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2904EAA"/>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8">
    <w:nsid w:val="56500656"/>
    <w:multiLevelType w:val="multilevel"/>
    <w:tmpl w:val="43BA9A6E"/>
    <w:lvl w:ilvl="0">
      <w:start w:val="1"/>
      <w:numFmt w:val="bullet"/>
      <w:lvlText w:val=""/>
      <w:lvlJc w:val="left"/>
      <w:pPr>
        <w:tabs>
          <w:tab w:val="num" w:pos="397"/>
        </w:tabs>
        <w:ind w:left="397" w:hanging="397"/>
      </w:pPr>
      <w:rPr>
        <w:rFonts w:ascii="Wingdings" w:hAnsi="Wingdings" w:hint="default"/>
        <w:b/>
        <w:i w:val="0"/>
      </w:rPr>
    </w:lvl>
    <w:lvl w:ilvl="1">
      <w:start w:val="1"/>
      <w:numFmt w:val="bullet"/>
      <w:lvlText w:val="­"/>
      <w:lvlJc w:val="left"/>
      <w:pPr>
        <w:tabs>
          <w:tab w:val="num" w:pos="737"/>
        </w:tabs>
        <w:ind w:left="737" w:hanging="340"/>
      </w:pPr>
      <w:rPr>
        <w:rFonts w:ascii="Arial" w:hAnsi="Aria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9E20218"/>
    <w:multiLevelType w:val="multilevel"/>
    <w:tmpl w:val="E2D82C4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C20C28"/>
    <w:multiLevelType w:val="multilevel"/>
    <w:tmpl w:val="2452DDC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FA74388"/>
    <w:multiLevelType w:val="hybridMultilevel"/>
    <w:tmpl w:val="DA78BDFC"/>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4303E9C"/>
    <w:multiLevelType w:val="hybridMultilevel"/>
    <w:tmpl w:val="6A74855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nsid w:val="657879AF"/>
    <w:multiLevelType w:val="hybridMultilevel"/>
    <w:tmpl w:val="20D26F3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86421B9"/>
    <w:multiLevelType w:val="hybridMultilevel"/>
    <w:tmpl w:val="DC624EDE"/>
    <w:lvl w:ilvl="0" w:tplc="04070019">
      <w:start w:val="1"/>
      <w:numFmt w:val="lowerLetter"/>
      <w:lvlText w:val="%1."/>
      <w:lvlJc w:val="left"/>
      <w:pPr>
        <w:ind w:left="792" w:hanging="360"/>
      </w:p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35">
    <w:nsid w:val="6F1840C1"/>
    <w:multiLevelType w:val="hybridMultilevel"/>
    <w:tmpl w:val="F948E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nsid w:val="762670DB"/>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7E010A7"/>
    <w:multiLevelType w:val="multilevel"/>
    <w:tmpl w:val="205E2186"/>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BCF0D50"/>
    <w:multiLevelType w:val="hybridMultilevel"/>
    <w:tmpl w:val="BFD86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BE25994"/>
    <w:multiLevelType w:val="hybridMultilevel"/>
    <w:tmpl w:val="EE5E0A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C755DF2"/>
    <w:multiLevelType w:val="multilevel"/>
    <w:tmpl w:val="458A1968"/>
    <w:lvl w:ilvl="0">
      <w:start w:val="1"/>
      <w:numFmt w:val="lowerLetter"/>
      <w:lvlText w:val="%1"/>
      <w:lvlJc w:val="left"/>
      <w:pPr>
        <w:tabs>
          <w:tab w:val="num" w:pos="397"/>
        </w:tabs>
        <w:ind w:left="397" w:hanging="397"/>
      </w:pPr>
      <w:rPr>
        <w:rFont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EC52C2D"/>
    <w:multiLevelType w:val="hybridMultilevel"/>
    <w:tmpl w:val="07709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1"/>
  </w:num>
  <w:num w:numId="4">
    <w:abstractNumId w:val="27"/>
  </w:num>
  <w:num w:numId="5">
    <w:abstractNumId w:val="36"/>
  </w:num>
  <w:num w:numId="6">
    <w:abstractNumId w:val="7"/>
  </w:num>
  <w:num w:numId="7">
    <w:abstractNumId w:val="21"/>
  </w:num>
  <w:num w:numId="8">
    <w:abstractNumId w:val="28"/>
  </w:num>
  <w:num w:numId="9">
    <w:abstractNumId w:val="6"/>
  </w:num>
  <w:num w:numId="10">
    <w:abstractNumId w:val="37"/>
  </w:num>
  <w:num w:numId="11">
    <w:abstractNumId w:val="26"/>
  </w:num>
  <w:num w:numId="12">
    <w:abstractNumId w:val="41"/>
  </w:num>
  <w:num w:numId="13">
    <w:abstractNumId w:val="20"/>
  </w:num>
  <w:num w:numId="14">
    <w:abstractNumId w:val="15"/>
  </w:num>
  <w:num w:numId="15">
    <w:abstractNumId w:val="38"/>
  </w:num>
  <w:num w:numId="16">
    <w:abstractNumId w:val="30"/>
  </w:num>
  <w:num w:numId="17">
    <w:abstractNumId w:val="23"/>
  </w:num>
  <w:num w:numId="18">
    <w:abstractNumId w:val="16"/>
  </w:num>
  <w:num w:numId="19">
    <w:abstractNumId w:val="25"/>
  </w:num>
  <w:num w:numId="20">
    <w:abstractNumId w:val="2"/>
  </w:num>
  <w:num w:numId="21">
    <w:abstractNumId w:val="4"/>
  </w:num>
  <w:num w:numId="22">
    <w:abstractNumId w:val="1"/>
  </w:num>
  <w:num w:numId="23">
    <w:abstractNumId w:val="5"/>
  </w:num>
  <w:num w:numId="24">
    <w:abstractNumId w:val="14"/>
  </w:num>
  <w:num w:numId="25">
    <w:abstractNumId w:val="17"/>
  </w:num>
  <w:num w:numId="26">
    <w:abstractNumId w:val="9"/>
  </w:num>
  <w:num w:numId="27">
    <w:abstractNumId w:val="34"/>
  </w:num>
  <w:num w:numId="28">
    <w:abstractNumId w:val="33"/>
  </w:num>
  <w:num w:numId="29">
    <w:abstractNumId w:val="3"/>
  </w:num>
  <w:num w:numId="30">
    <w:abstractNumId w:val="12"/>
  </w:num>
  <w:num w:numId="31">
    <w:abstractNumId w:val="32"/>
  </w:num>
  <w:num w:numId="32">
    <w:abstractNumId w:val="31"/>
  </w:num>
  <w:num w:numId="33">
    <w:abstractNumId w:val="24"/>
  </w:num>
  <w:num w:numId="34">
    <w:abstractNumId w:val="40"/>
  </w:num>
  <w:num w:numId="35">
    <w:abstractNumId w:val="8"/>
  </w:num>
  <w:num w:numId="36">
    <w:abstractNumId w:val="22"/>
  </w:num>
  <w:num w:numId="37">
    <w:abstractNumId w:val="39"/>
  </w:num>
  <w:num w:numId="38">
    <w:abstractNumId w:val="19"/>
  </w:num>
  <w:num w:numId="39">
    <w:abstractNumId w:val="10"/>
  </w:num>
  <w:num w:numId="40">
    <w:abstractNumId w:val="29"/>
  </w:num>
  <w:num w:numId="41">
    <w:abstractNumId w:val="35"/>
  </w:num>
  <w:num w:numId="42">
    <w:abstractNumId w:val="18"/>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activeWritingStyle w:appName="MSWord" w:lang="de-DE" w:vendorID="64" w:dllVersion="131078" w:nlCheck="1" w:checkStyle="1"/>
  <w:activeWritingStyle w:appName="MSWord" w:lang="en-US" w:vendorID="64" w:dllVersion="131078" w:nlCheck="1" w:checkStyle="1"/>
  <w:proofState w:spelling="clean" w:grammar="clean"/>
  <w:stylePaneFormatFilter w:val="300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DEF"/>
    <w:rsid w:val="00002EFC"/>
    <w:rsid w:val="00003C6C"/>
    <w:rsid w:val="00004CB5"/>
    <w:rsid w:val="00007A02"/>
    <w:rsid w:val="000110ED"/>
    <w:rsid w:val="00016BF8"/>
    <w:rsid w:val="00027068"/>
    <w:rsid w:val="0003366F"/>
    <w:rsid w:val="000336E8"/>
    <w:rsid w:val="00037AE7"/>
    <w:rsid w:val="000431B3"/>
    <w:rsid w:val="00043651"/>
    <w:rsid w:val="00046214"/>
    <w:rsid w:val="00097058"/>
    <w:rsid w:val="000A1146"/>
    <w:rsid w:val="000B3AE7"/>
    <w:rsid w:val="000B703D"/>
    <w:rsid w:val="000C4778"/>
    <w:rsid w:val="000C6CE1"/>
    <w:rsid w:val="000D477C"/>
    <w:rsid w:val="000D7F13"/>
    <w:rsid w:val="000F0C13"/>
    <w:rsid w:val="00101340"/>
    <w:rsid w:val="0011112B"/>
    <w:rsid w:val="001258CF"/>
    <w:rsid w:val="001258F8"/>
    <w:rsid w:val="0014415D"/>
    <w:rsid w:val="001574F9"/>
    <w:rsid w:val="00163034"/>
    <w:rsid w:val="00165C0D"/>
    <w:rsid w:val="001707EF"/>
    <w:rsid w:val="00170AF3"/>
    <w:rsid w:val="001717EB"/>
    <w:rsid w:val="00181857"/>
    <w:rsid w:val="00182A6F"/>
    <w:rsid w:val="001906B4"/>
    <w:rsid w:val="00194770"/>
    <w:rsid w:val="00194919"/>
    <w:rsid w:val="00194A85"/>
    <w:rsid w:val="00194AC7"/>
    <w:rsid w:val="001A56C5"/>
    <w:rsid w:val="001A5F9B"/>
    <w:rsid w:val="001B0911"/>
    <w:rsid w:val="001B1191"/>
    <w:rsid w:val="001C1422"/>
    <w:rsid w:val="001C2180"/>
    <w:rsid w:val="001D3F79"/>
    <w:rsid w:val="001E17E4"/>
    <w:rsid w:val="001F348A"/>
    <w:rsid w:val="001F685A"/>
    <w:rsid w:val="001F7237"/>
    <w:rsid w:val="00204081"/>
    <w:rsid w:val="00210C68"/>
    <w:rsid w:val="0021213E"/>
    <w:rsid w:val="002206B7"/>
    <w:rsid w:val="00221DFF"/>
    <w:rsid w:val="00227949"/>
    <w:rsid w:val="00243EFF"/>
    <w:rsid w:val="0025090F"/>
    <w:rsid w:val="00252B26"/>
    <w:rsid w:val="00277057"/>
    <w:rsid w:val="00285210"/>
    <w:rsid w:val="002924CB"/>
    <w:rsid w:val="002A20D1"/>
    <w:rsid w:val="002B0140"/>
    <w:rsid w:val="002B5955"/>
    <w:rsid w:val="002E3A16"/>
    <w:rsid w:val="002E5F48"/>
    <w:rsid w:val="002F07C1"/>
    <w:rsid w:val="00306109"/>
    <w:rsid w:val="003102C1"/>
    <w:rsid w:val="003169CE"/>
    <w:rsid w:val="00316B7C"/>
    <w:rsid w:val="003311A8"/>
    <w:rsid w:val="0033191B"/>
    <w:rsid w:val="0033331C"/>
    <w:rsid w:val="003571D1"/>
    <w:rsid w:val="0037133B"/>
    <w:rsid w:val="00375232"/>
    <w:rsid w:val="00380937"/>
    <w:rsid w:val="00387FD7"/>
    <w:rsid w:val="003A60E2"/>
    <w:rsid w:val="003B0FCC"/>
    <w:rsid w:val="003B2514"/>
    <w:rsid w:val="003C2168"/>
    <w:rsid w:val="003D3EED"/>
    <w:rsid w:val="003D7B0B"/>
    <w:rsid w:val="003E4AF3"/>
    <w:rsid w:val="003F4E12"/>
    <w:rsid w:val="004006C9"/>
    <w:rsid w:val="004067D5"/>
    <w:rsid w:val="0041137C"/>
    <w:rsid w:val="00421C08"/>
    <w:rsid w:val="0042311F"/>
    <w:rsid w:val="0044203B"/>
    <w:rsid w:val="00444D77"/>
    <w:rsid w:val="00450B6B"/>
    <w:rsid w:val="00452FA1"/>
    <w:rsid w:val="00460476"/>
    <w:rsid w:val="00470135"/>
    <w:rsid w:val="00472F10"/>
    <w:rsid w:val="004908B5"/>
    <w:rsid w:val="0049121B"/>
    <w:rsid w:val="00492174"/>
    <w:rsid w:val="00492505"/>
    <w:rsid w:val="004A0044"/>
    <w:rsid w:val="004A1688"/>
    <w:rsid w:val="004A71F2"/>
    <w:rsid w:val="004B062E"/>
    <w:rsid w:val="004B13CC"/>
    <w:rsid w:val="004B6796"/>
    <w:rsid w:val="004B7805"/>
    <w:rsid w:val="004C67AB"/>
    <w:rsid w:val="004D0312"/>
    <w:rsid w:val="004D0C4F"/>
    <w:rsid w:val="004D7332"/>
    <w:rsid w:val="004D7CB6"/>
    <w:rsid w:val="004E081F"/>
    <w:rsid w:val="004E2E2D"/>
    <w:rsid w:val="004E4DF7"/>
    <w:rsid w:val="004E54D7"/>
    <w:rsid w:val="004F50B9"/>
    <w:rsid w:val="004F7C08"/>
    <w:rsid w:val="004F7D8B"/>
    <w:rsid w:val="00503857"/>
    <w:rsid w:val="00521285"/>
    <w:rsid w:val="005218B4"/>
    <w:rsid w:val="00524620"/>
    <w:rsid w:val="00537260"/>
    <w:rsid w:val="0053750A"/>
    <w:rsid w:val="00556252"/>
    <w:rsid w:val="00562418"/>
    <w:rsid w:val="00566356"/>
    <w:rsid w:val="00574952"/>
    <w:rsid w:val="00590D05"/>
    <w:rsid w:val="00592FEA"/>
    <w:rsid w:val="005A2FF7"/>
    <w:rsid w:val="005A4CBE"/>
    <w:rsid w:val="005A56AA"/>
    <w:rsid w:val="005A5FC0"/>
    <w:rsid w:val="005B4238"/>
    <w:rsid w:val="005B4EA5"/>
    <w:rsid w:val="005C294A"/>
    <w:rsid w:val="005D25B4"/>
    <w:rsid w:val="005E19C6"/>
    <w:rsid w:val="005E1B92"/>
    <w:rsid w:val="005E5240"/>
    <w:rsid w:val="005F3809"/>
    <w:rsid w:val="005F5B3D"/>
    <w:rsid w:val="00622F03"/>
    <w:rsid w:val="00624D6C"/>
    <w:rsid w:val="00627349"/>
    <w:rsid w:val="006307FB"/>
    <w:rsid w:val="006334DD"/>
    <w:rsid w:val="0063415B"/>
    <w:rsid w:val="00645061"/>
    <w:rsid w:val="00646287"/>
    <w:rsid w:val="006468D5"/>
    <w:rsid w:val="00651647"/>
    <w:rsid w:val="00652043"/>
    <w:rsid w:val="006541E2"/>
    <w:rsid w:val="00671641"/>
    <w:rsid w:val="00686C95"/>
    <w:rsid w:val="00687D4B"/>
    <w:rsid w:val="00693E58"/>
    <w:rsid w:val="0069625B"/>
    <w:rsid w:val="006B2AF1"/>
    <w:rsid w:val="006B401C"/>
    <w:rsid w:val="006B6D50"/>
    <w:rsid w:val="006C001C"/>
    <w:rsid w:val="006C3037"/>
    <w:rsid w:val="006C3CE7"/>
    <w:rsid w:val="006C4419"/>
    <w:rsid w:val="006D7BEF"/>
    <w:rsid w:val="006D7FCB"/>
    <w:rsid w:val="006E0575"/>
    <w:rsid w:val="006E4F38"/>
    <w:rsid w:val="006F1A0A"/>
    <w:rsid w:val="006F3B5B"/>
    <w:rsid w:val="00700679"/>
    <w:rsid w:val="00704E40"/>
    <w:rsid w:val="00706BF1"/>
    <w:rsid w:val="0071237F"/>
    <w:rsid w:val="00720F37"/>
    <w:rsid w:val="00725CA2"/>
    <w:rsid w:val="007271FE"/>
    <w:rsid w:val="007303D5"/>
    <w:rsid w:val="007308DD"/>
    <w:rsid w:val="00731B77"/>
    <w:rsid w:val="00736A52"/>
    <w:rsid w:val="00736E7D"/>
    <w:rsid w:val="00741CE1"/>
    <w:rsid w:val="0075239F"/>
    <w:rsid w:val="007650B7"/>
    <w:rsid w:val="007744BA"/>
    <w:rsid w:val="00783179"/>
    <w:rsid w:val="00784B15"/>
    <w:rsid w:val="00786EA1"/>
    <w:rsid w:val="007A15F7"/>
    <w:rsid w:val="007A2113"/>
    <w:rsid w:val="007A5DF0"/>
    <w:rsid w:val="007B0B5B"/>
    <w:rsid w:val="007D43B0"/>
    <w:rsid w:val="007E3820"/>
    <w:rsid w:val="007E3B79"/>
    <w:rsid w:val="007E4024"/>
    <w:rsid w:val="007E7334"/>
    <w:rsid w:val="007F41F3"/>
    <w:rsid w:val="007F7D1A"/>
    <w:rsid w:val="008066EE"/>
    <w:rsid w:val="0081338B"/>
    <w:rsid w:val="00827ED0"/>
    <w:rsid w:val="00841538"/>
    <w:rsid w:val="00860385"/>
    <w:rsid w:val="00872D87"/>
    <w:rsid w:val="00875108"/>
    <w:rsid w:val="00884D6C"/>
    <w:rsid w:val="00887295"/>
    <w:rsid w:val="0089213A"/>
    <w:rsid w:val="008A27C6"/>
    <w:rsid w:val="008B2003"/>
    <w:rsid w:val="008C28E3"/>
    <w:rsid w:val="008C3BD8"/>
    <w:rsid w:val="008D385A"/>
    <w:rsid w:val="008E2F11"/>
    <w:rsid w:val="008E4CA3"/>
    <w:rsid w:val="008F1D09"/>
    <w:rsid w:val="008F453C"/>
    <w:rsid w:val="00907780"/>
    <w:rsid w:val="00920346"/>
    <w:rsid w:val="00924EEC"/>
    <w:rsid w:val="00925EEC"/>
    <w:rsid w:val="00931938"/>
    <w:rsid w:val="0093229D"/>
    <w:rsid w:val="00933112"/>
    <w:rsid w:val="009355A2"/>
    <w:rsid w:val="00937996"/>
    <w:rsid w:val="009405FE"/>
    <w:rsid w:val="00951544"/>
    <w:rsid w:val="009640CB"/>
    <w:rsid w:val="00964380"/>
    <w:rsid w:val="0096713A"/>
    <w:rsid w:val="00974C5E"/>
    <w:rsid w:val="00980F0B"/>
    <w:rsid w:val="009934EB"/>
    <w:rsid w:val="00995931"/>
    <w:rsid w:val="009B02F7"/>
    <w:rsid w:val="009C00E3"/>
    <w:rsid w:val="009C0592"/>
    <w:rsid w:val="009D4881"/>
    <w:rsid w:val="009D56CA"/>
    <w:rsid w:val="009F7414"/>
    <w:rsid w:val="00A051CB"/>
    <w:rsid w:val="00A16968"/>
    <w:rsid w:val="00A17357"/>
    <w:rsid w:val="00A27CA7"/>
    <w:rsid w:val="00A50362"/>
    <w:rsid w:val="00A5415C"/>
    <w:rsid w:val="00A54160"/>
    <w:rsid w:val="00A622A2"/>
    <w:rsid w:val="00A671E2"/>
    <w:rsid w:val="00A71D0A"/>
    <w:rsid w:val="00A77F1E"/>
    <w:rsid w:val="00A85A4B"/>
    <w:rsid w:val="00A90BD0"/>
    <w:rsid w:val="00A94661"/>
    <w:rsid w:val="00A9581B"/>
    <w:rsid w:val="00AA764E"/>
    <w:rsid w:val="00AC4967"/>
    <w:rsid w:val="00AD726C"/>
    <w:rsid w:val="00AE1625"/>
    <w:rsid w:val="00AE3150"/>
    <w:rsid w:val="00AE479E"/>
    <w:rsid w:val="00AE5B28"/>
    <w:rsid w:val="00B013E2"/>
    <w:rsid w:val="00B02296"/>
    <w:rsid w:val="00B02E9B"/>
    <w:rsid w:val="00B03450"/>
    <w:rsid w:val="00B04290"/>
    <w:rsid w:val="00B1529A"/>
    <w:rsid w:val="00B1709A"/>
    <w:rsid w:val="00B25CA9"/>
    <w:rsid w:val="00B27AC4"/>
    <w:rsid w:val="00B305A9"/>
    <w:rsid w:val="00B34F46"/>
    <w:rsid w:val="00B42058"/>
    <w:rsid w:val="00B523C2"/>
    <w:rsid w:val="00B62D41"/>
    <w:rsid w:val="00B67A74"/>
    <w:rsid w:val="00B80DEF"/>
    <w:rsid w:val="00B95383"/>
    <w:rsid w:val="00BA56BC"/>
    <w:rsid w:val="00BA71C3"/>
    <w:rsid w:val="00BB0E77"/>
    <w:rsid w:val="00BB1AAC"/>
    <w:rsid w:val="00BB1D46"/>
    <w:rsid w:val="00BB6240"/>
    <w:rsid w:val="00BC4669"/>
    <w:rsid w:val="00BC66E0"/>
    <w:rsid w:val="00BC730C"/>
    <w:rsid w:val="00BF1F4E"/>
    <w:rsid w:val="00C02AC9"/>
    <w:rsid w:val="00C02EDF"/>
    <w:rsid w:val="00C11248"/>
    <w:rsid w:val="00C13AB8"/>
    <w:rsid w:val="00C16EF1"/>
    <w:rsid w:val="00C2016B"/>
    <w:rsid w:val="00C27583"/>
    <w:rsid w:val="00C34938"/>
    <w:rsid w:val="00C43453"/>
    <w:rsid w:val="00C43977"/>
    <w:rsid w:val="00C448D3"/>
    <w:rsid w:val="00C44C77"/>
    <w:rsid w:val="00C456AA"/>
    <w:rsid w:val="00C4600E"/>
    <w:rsid w:val="00C464F6"/>
    <w:rsid w:val="00C47E00"/>
    <w:rsid w:val="00C51ED5"/>
    <w:rsid w:val="00C53C05"/>
    <w:rsid w:val="00C561BC"/>
    <w:rsid w:val="00C811DC"/>
    <w:rsid w:val="00C876B6"/>
    <w:rsid w:val="00C9720C"/>
    <w:rsid w:val="00CA67FB"/>
    <w:rsid w:val="00CB6740"/>
    <w:rsid w:val="00CC0ADE"/>
    <w:rsid w:val="00CD4DE7"/>
    <w:rsid w:val="00CD52B1"/>
    <w:rsid w:val="00CD7CBD"/>
    <w:rsid w:val="00CE2770"/>
    <w:rsid w:val="00CF1ED7"/>
    <w:rsid w:val="00D021CD"/>
    <w:rsid w:val="00D043F1"/>
    <w:rsid w:val="00D12D95"/>
    <w:rsid w:val="00D20193"/>
    <w:rsid w:val="00D31E04"/>
    <w:rsid w:val="00D43D85"/>
    <w:rsid w:val="00D456A4"/>
    <w:rsid w:val="00D4673B"/>
    <w:rsid w:val="00D673F9"/>
    <w:rsid w:val="00D72A96"/>
    <w:rsid w:val="00D803FF"/>
    <w:rsid w:val="00D83D0B"/>
    <w:rsid w:val="00D90995"/>
    <w:rsid w:val="00D94443"/>
    <w:rsid w:val="00D95D52"/>
    <w:rsid w:val="00DA03D3"/>
    <w:rsid w:val="00DA499E"/>
    <w:rsid w:val="00DA5CCC"/>
    <w:rsid w:val="00DB29C7"/>
    <w:rsid w:val="00DB3868"/>
    <w:rsid w:val="00DB3D6C"/>
    <w:rsid w:val="00DB403C"/>
    <w:rsid w:val="00DB7BF2"/>
    <w:rsid w:val="00DC21D8"/>
    <w:rsid w:val="00DC3472"/>
    <w:rsid w:val="00DC618B"/>
    <w:rsid w:val="00DD196C"/>
    <w:rsid w:val="00DE1E51"/>
    <w:rsid w:val="00DE328B"/>
    <w:rsid w:val="00DF2D60"/>
    <w:rsid w:val="00DF4897"/>
    <w:rsid w:val="00E014B6"/>
    <w:rsid w:val="00E05E52"/>
    <w:rsid w:val="00E1162F"/>
    <w:rsid w:val="00E11D5F"/>
    <w:rsid w:val="00E23B71"/>
    <w:rsid w:val="00E25094"/>
    <w:rsid w:val="00E30597"/>
    <w:rsid w:val="00E3699F"/>
    <w:rsid w:val="00E37E55"/>
    <w:rsid w:val="00E42E24"/>
    <w:rsid w:val="00E60753"/>
    <w:rsid w:val="00E6466A"/>
    <w:rsid w:val="00E70F95"/>
    <w:rsid w:val="00E7118F"/>
    <w:rsid w:val="00E93FC8"/>
    <w:rsid w:val="00E9495B"/>
    <w:rsid w:val="00EA7FD5"/>
    <w:rsid w:val="00EB2B7A"/>
    <w:rsid w:val="00EB6367"/>
    <w:rsid w:val="00EC43E0"/>
    <w:rsid w:val="00ED6CAD"/>
    <w:rsid w:val="00EE4288"/>
    <w:rsid w:val="00EE7A98"/>
    <w:rsid w:val="00EF23F2"/>
    <w:rsid w:val="00EF3C7D"/>
    <w:rsid w:val="00F01A51"/>
    <w:rsid w:val="00F11A65"/>
    <w:rsid w:val="00F135DE"/>
    <w:rsid w:val="00F14532"/>
    <w:rsid w:val="00F26460"/>
    <w:rsid w:val="00F27657"/>
    <w:rsid w:val="00F342DC"/>
    <w:rsid w:val="00F40623"/>
    <w:rsid w:val="00F41B84"/>
    <w:rsid w:val="00F45416"/>
    <w:rsid w:val="00F457BC"/>
    <w:rsid w:val="00F532DC"/>
    <w:rsid w:val="00F55A8E"/>
    <w:rsid w:val="00F564BB"/>
    <w:rsid w:val="00F63041"/>
    <w:rsid w:val="00F929D4"/>
    <w:rsid w:val="00F97AD1"/>
    <w:rsid w:val="00FA7C4B"/>
    <w:rsid w:val="00FB2163"/>
    <w:rsid w:val="00FB5CE5"/>
    <w:rsid w:val="00FB616D"/>
    <w:rsid w:val="00FC49CC"/>
    <w:rsid w:val="00FC75F6"/>
    <w:rsid w:val="00FD19DF"/>
    <w:rsid w:val="00FD42A8"/>
    <w:rsid w:val="00FD5145"/>
    <w:rsid w:val="00FD6070"/>
    <w:rsid w:val="00FE4C38"/>
    <w:rsid w:val="00FE4EB0"/>
    <w:rsid w:val="00FE6542"/>
    <w:rsid w:val="00FF2223"/>
    <w:rsid w:val="00FF24CB"/>
    <w:rsid w:val="00FF25D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7E7334"/>
    <w:pPr>
      <w:keepNext/>
      <w:spacing w:before="240" w:after="60"/>
      <w:outlineLvl w:val="2"/>
    </w:pPr>
    <w:rPr>
      <w:b/>
    </w:rPr>
  </w:style>
  <w:style w:type="paragraph" w:styleId="berschrift4">
    <w:name w:val="heading 4"/>
    <w:basedOn w:val="Standard"/>
    <w:next w:val="Standard"/>
    <w:qFormat/>
    <w:rsid w:val="007E733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7E7334"/>
    <w:rPr>
      <w:sz w:val="16"/>
    </w:rPr>
  </w:style>
  <w:style w:type="paragraph" w:styleId="Kommentartext">
    <w:name w:val="annotation text"/>
    <w:basedOn w:val="Standard"/>
    <w:semiHidden/>
    <w:rsid w:val="007E7334"/>
    <w:rPr>
      <w:sz w:val="20"/>
    </w:rPr>
  </w:style>
  <w:style w:type="paragraph" w:styleId="Fuzeile">
    <w:name w:val="footer"/>
    <w:basedOn w:val="Standard"/>
    <w:rsid w:val="007E7334"/>
    <w:pPr>
      <w:tabs>
        <w:tab w:val="center" w:pos="4819"/>
        <w:tab w:val="right" w:pos="9071"/>
      </w:tabs>
    </w:pPr>
  </w:style>
  <w:style w:type="paragraph" w:styleId="Kopfzeile">
    <w:name w:val="header"/>
    <w:basedOn w:val="Standard"/>
    <w:rsid w:val="007E7334"/>
    <w:pPr>
      <w:tabs>
        <w:tab w:val="center" w:pos="4819"/>
        <w:tab w:val="right" w:pos="9071"/>
      </w:tabs>
    </w:pPr>
  </w:style>
  <w:style w:type="paragraph" w:styleId="Sprechblasentext">
    <w:name w:val="Balloon Text"/>
    <w:basedOn w:val="Standard"/>
    <w:semiHidden/>
    <w:rsid w:val="00D456A4"/>
    <w:rPr>
      <w:rFonts w:ascii="Tahoma" w:hAnsi="Tahoma" w:cs="Tahoma"/>
      <w:sz w:val="16"/>
      <w:szCs w:val="16"/>
    </w:rPr>
  </w:style>
  <w:style w:type="paragraph" w:customStyle="1" w:styleId="Style1">
    <w:name w:val="Style 1"/>
    <w:basedOn w:val="Standard"/>
    <w:rsid w:val="004B13CC"/>
    <w:pPr>
      <w:widowControl w:val="0"/>
      <w:autoSpaceDE w:val="0"/>
      <w:autoSpaceDN w:val="0"/>
      <w:adjustRightInd w:val="0"/>
    </w:pPr>
    <w:rPr>
      <w:rFonts w:ascii="Times New Roman" w:hAnsi="Times New Roman"/>
      <w:sz w:val="20"/>
    </w:rPr>
  </w:style>
  <w:style w:type="character" w:styleId="Seitenzahl">
    <w:name w:val="page number"/>
    <w:basedOn w:val="Absatz-Standardschriftart"/>
    <w:rsid w:val="00165C0D"/>
    <w:rPr>
      <w:rFonts w:ascii="Arial" w:hAnsi="Arial"/>
      <w:sz w:val="24"/>
    </w:rPr>
  </w:style>
  <w:style w:type="character" w:customStyle="1" w:styleId="CharacterStyle1">
    <w:name w:val="Character Style 1"/>
    <w:rsid w:val="004B13CC"/>
    <w:rPr>
      <w:sz w:val="20"/>
    </w:rPr>
  </w:style>
  <w:style w:type="paragraph" w:styleId="Listenabsatz">
    <w:name w:val="List Paragraph"/>
    <w:basedOn w:val="Standard"/>
    <w:uiPriority w:val="34"/>
    <w:qFormat/>
    <w:rsid w:val="00741CE1"/>
    <w:pPr>
      <w:ind w:left="720"/>
      <w:contextualSpacing/>
    </w:pPr>
  </w:style>
  <w:style w:type="paragraph" w:customStyle="1" w:styleId="Default">
    <w:name w:val="Default"/>
    <w:rsid w:val="00F532DC"/>
    <w:pPr>
      <w:autoSpaceDE w:val="0"/>
      <w:autoSpaceDN w:val="0"/>
      <w:adjustRightInd w:val="0"/>
    </w:pPr>
    <w:rPr>
      <w:rFonts w:ascii="Arial" w:hAnsi="Arial" w:cs="Arial"/>
      <w:color w:val="000000"/>
      <w:sz w:val="24"/>
      <w:szCs w:val="24"/>
    </w:rPr>
  </w:style>
  <w:style w:type="table" w:styleId="Tabellengitternetz">
    <w:name w:val="Table Grid"/>
    <w:basedOn w:val="NormaleTabelle"/>
    <w:uiPriority w:val="59"/>
    <w:rsid w:val="00E6075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Standard"/>
    <w:next w:val="Standard"/>
    <w:rsid w:val="00460476"/>
    <w:pPr>
      <w:keepNext/>
      <w:suppressAutoHyphens/>
      <w:autoSpaceDN w:val="0"/>
      <w:spacing w:before="480"/>
      <w:ind w:left="284" w:hanging="284"/>
      <w:textAlignment w:val="baseline"/>
      <w:outlineLvl w:val="0"/>
    </w:pPr>
    <w:rPr>
      <w:rFonts w:eastAsia="SimSun" w:cs="Mangal"/>
      <w:b/>
      <w:kern w:val="3"/>
      <w:szCs w:val="24"/>
      <w:u w:val="single"/>
      <w:lang w:eastAsia="zh-CN" w:bidi="hi-IN"/>
    </w:rPr>
  </w:style>
  <w:style w:type="paragraph" w:customStyle="1" w:styleId="Heading2">
    <w:name w:val="Heading 2"/>
    <w:basedOn w:val="Standard"/>
    <w:next w:val="Standard"/>
    <w:rsid w:val="00221DFF"/>
    <w:pPr>
      <w:keepNext/>
      <w:suppressAutoHyphens/>
      <w:autoSpaceDN w:val="0"/>
      <w:spacing w:before="240"/>
      <w:ind w:left="482" w:hanging="482"/>
      <w:textAlignment w:val="baseline"/>
      <w:outlineLvl w:val="1"/>
    </w:pPr>
    <w:rPr>
      <w:rFonts w:eastAsia="SimSun" w:cs="Mangal"/>
      <w:b/>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7E7334"/>
    <w:pPr>
      <w:keepNext/>
      <w:spacing w:before="240" w:after="60"/>
      <w:outlineLvl w:val="2"/>
    </w:pPr>
    <w:rPr>
      <w:b/>
    </w:rPr>
  </w:style>
  <w:style w:type="paragraph" w:styleId="berschrift4">
    <w:name w:val="heading 4"/>
    <w:basedOn w:val="Standard"/>
    <w:next w:val="Standard"/>
    <w:qFormat/>
    <w:rsid w:val="007E733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7E7334"/>
    <w:rPr>
      <w:sz w:val="16"/>
    </w:rPr>
  </w:style>
  <w:style w:type="paragraph" w:styleId="Kommentartext">
    <w:name w:val="annotation text"/>
    <w:basedOn w:val="Standard"/>
    <w:semiHidden/>
    <w:rsid w:val="007E7334"/>
    <w:rPr>
      <w:sz w:val="20"/>
    </w:rPr>
  </w:style>
  <w:style w:type="paragraph" w:styleId="Fuzeile">
    <w:name w:val="footer"/>
    <w:basedOn w:val="Standard"/>
    <w:rsid w:val="007E7334"/>
    <w:pPr>
      <w:tabs>
        <w:tab w:val="center" w:pos="4819"/>
        <w:tab w:val="right" w:pos="9071"/>
      </w:tabs>
    </w:pPr>
  </w:style>
  <w:style w:type="paragraph" w:styleId="Kopfzeile">
    <w:name w:val="header"/>
    <w:basedOn w:val="Standard"/>
    <w:rsid w:val="007E7334"/>
    <w:pPr>
      <w:tabs>
        <w:tab w:val="center" w:pos="4819"/>
        <w:tab w:val="right" w:pos="9071"/>
      </w:tabs>
    </w:pPr>
  </w:style>
  <w:style w:type="paragraph" w:styleId="Sprechblasentext">
    <w:name w:val="Balloon Text"/>
    <w:basedOn w:val="Standard"/>
    <w:semiHidden/>
    <w:rsid w:val="00D456A4"/>
    <w:rPr>
      <w:rFonts w:ascii="Tahoma" w:hAnsi="Tahoma" w:cs="Tahoma"/>
      <w:sz w:val="16"/>
      <w:szCs w:val="16"/>
    </w:rPr>
  </w:style>
  <w:style w:type="paragraph" w:customStyle="1" w:styleId="Style1">
    <w:name w:val="Style 1"/>
    <w:basedOn w:val="Standard"/>
    <w:uiPriority w:val="99"/>
    <w:rsid w:val="004B13CC"/>
    <w:pPr>
      <w:widowControl w:val="0"/>
      <w:autoSpaceDE w:val="0"/>
      <w:autoSpaceDN w:val="0"/>
      <w:adjustRightInd w:val="0"/>
    </w:pPr>
    <w:rPr>
      <w:rFonts w:ascii="Times New Roman" w:hAnsi="Times New Roman"/>
      <w:sz w:val="20"/>
    </w:rPr>
  </w:style>
  <w:style w:type="character" w:styleId="Seitenzahl">
    <w:name w:val="page number"/>
    <w:basedOn w:val="Absatz-Standardschriftart"/>
    <w:rsid w:val="00165C0D"/>
    <w:rPr>
      <w:rFonts w:ascii="Arial" w:hAnsi="Arial"/>
      <w:sz w:val="24"/>
    </w:rPr>
  </w:style>
  <w:style w:type="character" w:customStyle="1" w:styleId="CharacterStyle1">
    <w:name w:val="Character Style 1"/>
    <w:uiPriority w:val="99"/>
    <w:rsid w:val="004B13CC"/>
    <w:rPr>
      <w:sz w:val="20"/>
    </w:rPr>
  </w:style>
  <w:style w:type="paragraph" w:styleId="Listenabsatz">
    <w:name w:val="List Paragraph"/>
    <w:basedOn w:val="Standard"/>
    <w:uiPriority w:val="34"/>
    <w:qFormat/>
    <w:rsid w:val="00741CE1"/>
    <w:pPr>
      <w:ind w:left="720"/>
      <w:contextualSpacing/>
    </w:pPr>
  </w:style>
  <w:style w:type="paragraph" w:customStyle="1" w:styleId="Default">
    <w:name w:val="Default"/>
    <w:rsid w:val="00F532DC"/>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E6075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8640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9EF60-E1B6-44C8-8AB2-4206685F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6039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lastModifiedBy>Cornelia Gaß-Hildebrand</cp:lastModifiedBy>
  <cp:revision>2</cp:revision>
  <cp:lastPrinted>2016-10-27T09:30:00Z</cp:lastPrinted>
  <dcterms:created xsi:type="dcterms:W3CDTF">2016-12-07T11:06:00Z</dcterms:created>
  <dcterms:modified xsi:type="dcterms:W3CDTF">2016-12-07T11:06:00Z</dcterms:modified>
</cp:coreProperties>
</file>