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6E0575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400047">
        <w:rPr>
          <w:szCs w:val="24"/>
        </w:rPr>
        <w:t>10</w:t>
      </w:r>
      <w:r w:rsidRPr="00A943EF">
        <w:rPr>
          <w:color w:val="FF0000"/>
          <w:szCs w:val="24"/>
        </w:rPr>
        <w:t xml:space="preserve">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="004E6D51">
        <w:rPr>
          <w:szCs w:val="24"/>
        </w:rPr>
        <w:t>.</w:t>
      </w:r>
      <w:r w:rsidRPr="006E0575">
        <w:rPr>
          <w:szCs w:val="24"/>
        </w:rPr>
        <w:t xml:space="preserve"> </w:t>
      </w:r>
      <w:r w:rsidR="00D258A8">
        <w:rPr>
          <w:szCs w:val="24"/>
        </w:rPr>
        <w:t>817</w:t>
      </w:r>
      <w:r w:rsidRPr="006E0575">
        <w:rPr>
          <w:szCs w:val="24"/>
        </w:rPr>
        <w:t>/20</w:t>
      </w:r>
      <w:r w:rsidR="002E442C">
        <w:rPr>
          <w:szCs w:val="24"/>
        </w:rPr>
        <w:t>1</w:t>
      </w:r>
      <w:r w:rsidR="005B4AAA">
        <w:rPr>
          <w:szCs w:val="24"/>
        </w:rPr>
        <w:t>6</w:t>
      </w:r>
    </w:p>
    <w:p w:rsidR="003D7B0B" w:rsidRPr="006E0575" w:rsidRDefault="003D7B0B" w:rsidP="006E0575"/>
    <w:p w:rsidR="003D7B0B" w:rsidRPr="006E0575" w:rsidRDefault="003D7B0B" w:rsidP="006E0575"/>
    <w:p w:rsidR="00597BEF" w:rsidRDefault="00597BEF" w:rsidP="00597BEF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Verlän</w:t>
      </w:r>
      <w:r w:rsidRPr="00A34898">
        <w:rPr>
          <w:b/>
          <w:sz w:val="36"/>
        </w:rPr>
        <w:t>g</w:t>
      </w:r>
      <w:r>
        <w:rPr>
          <w:b/>
          <w:sz w:val="36"/>
          <w:u w:val="single"/>
        </w:rPr>
        <w:t>erun</w:t>
      </w:r>
      <w:r w:rsidRPr="00A34898">
        <w:rPr>
          <w:b/>
          <w:sz w:val="36"/>
        </w:rPr>
        <w:t>g</w:t>
      </w:r>
      <w:r>
        <w:rPr>
          <w:b/>
          <w:sz w:val="36"/>
          <w:u w:val="single"/>
        </w:rPr>
        <w:t xml:space="preserve"> eines Stellenvermerks </w:t>
      </w:r>
      <w:r>
        <w:rPr>
          <w:b/>
          <w:sz w:val="36"/>
          <w:u w:val="single"/>
        </w:rPr>
        <w:br/>
        <w:t>im Vorgriff auf Stellenplan 2018</w:t>
      </w:r>
    </w:p>
    <w:p w:rsidR="003D7B0B" w:rsidRDefault="003D7B0B" w:rsidP="006E0575"/>
    <w:p w:rsidR="003D7B0B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2E442C" w:rsidRPr="006E0575" w:rsidTr="002E442C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 w:rsidR="0018157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wert</w:t>
            </w:r>
            <w:r w:rsidRPr="006E0575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2E442C" w:rsidRPr="00723653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723653">
              <w:rPr>
                <w:sz w:val="16"/>
                <w:szCs w:val="16"/>
              </w:rPr>
              <w:t>Stellen-</w:t>
            </w:r>
            <w:r w:rsidRPr="00723653">
              <w:rPr>
                <w:sz w:val="16"/>
                <w:szCs w:val="16"/>
              </w:rPr>
              <w:br/>
              <w:t>vermerk</w:t>
            </w:r>
            <w:r w:rsidRPr="00723653">
              <w:rPr>
                <w:sz w:val="16"/>
                <w:szCs w:val="16"/>
              </w:rPr>
              <w:br/>
              <w:t>al</w:t>
            </w:r>
            <w:r w:rsidRPr="00723653">
              <w:rPr>
                <w:rFonts w:cs="Arial"/>
                <w:spacing w:val="10"/>
                <w:sz w:val="16"/>
                <w:szCs w:val="16"/>
              </w:rPr>
              <w:t>t</w:t>
            </w:r>
            <w:r w:rsidR="00723653" w:rsidRPr="00723653">
              <w:rPr>
                <w:sz w:val="16"/>
                <w:szCs w:val="16"/>
              </w:rPr>
              <w:t>/</w:t>
            </w:r>
            <w:r w:rsidRPr="00723653">
              <w:rPr>
                <w:b/>
                <w:sz w:val="16"/>
                <w:szCs w:val="16"/>
              </w:rPr>
              <w:t>neu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2E442C" w:rsidRPr="006E0575" w:rsidRDefault="002E442C" w:rsidP="00D46290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</w:t>
            </w:r>
            <w:r>
              <w:rPr>
                <w:sz w:val="16"/>
                <w:szCs w:val="16"/>
              </w:rPr>
              <w:t>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2E442C" w:rsidRPr="006E0575" w:rsidTr="002E442C">
        <w:tc>
          <w:tcPr>
            <w:tcW w:w="1814" w:type="dxa"/>
          </w:tcPr>
          <w:p w:rsidR="002E442C" w:rsidRDefault="002E442C" w:rsidP="002812E4">
            <w:pPr>
              <w:rPr>
                <w:sz w:val="20"/>
              </w:rPr>
            </w:pPr>
          </w:p>
          <w:p w:rsidR="00F94357" w:rsidRDefault="00F94357" w:rsidP="00F94357">
            <w:pPr>
              <w:rPr>
                <w:sz w:val="20"/>
              </w:rPr>
            </w:pPr>
            <w:r>
              <w:rPr>
                <w:sz w:val="20"/>
              </w:rPr>
              <w:t xml:space="preserve">29-2 </w:t>
            </w:r>
          </w:p>
          <w:p w:rsidR="00F94357" w:rsidRDefault="00F94357" w:rsidP="00F94357">
            <w:pPr>
              <w:rPr>
                <w:sz w:val="20"/>
              </w:rPr>
            </w:pPr>
          </w:p>
          <w:p w:rsidR="00F94357" w:rsidRDefault="00F94357" w:rsidP="00F94357">
            <w:pPr>
              <w:rPr>
                <w:sz w:val="20"/>
              </w:rPr>
            </w:pPr>
            <w:r>
              <w:rPr>
                <w:sz w:val="20"/>
              </w:rPr>
              <w:t>290 0200</w:t>
            </w:r>
            <w:r w:rsidR="00FE1601">
              <w:rPr>
                <w:sz w:val="20"/>
              </w:rPr>
              <w:t xml:space="preserve"> 185</w:t>
            </w:r>
          </w:p>
          <w:p w:rsidR="00F94357" w:rsidRDefault="00F94357" w:rsidP="00F94357">
            <w:pPr>
              <w:rPr>
                <w:sz w:val="20"/>
              </w:rPr>
            </w:pPr>
          </w:p>
          <w:p w:rsidR="00F94357" w:rsidRDefault="00F94357" w:rsidP="00F94357">
            <w:pPr>
              <w:rPr>
                <w:sz w:val="20"/>
              </w:rPr>
            </w:pPr>
            <w:r>
              <w:rPr>
                <w:sz w:val="20"/>
              </w:rPr>
              <w:t>29101020</w:t>
            </w:r>
          </w:p>
          <w:p w:rsidR="002E442C" w:rsidRPr="006E0575" w:rsidRDefault="002E442C" w:rsidP="005B4AAA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E442C" w:rsidRDefault="002E442C" w:rsidP="002812E4">
            <w:pPr>
              <w:rPr>
                <w:sz w:val="20"/>
              </w:rPr>
            </w:pPr>
          </w:p>
          <w:p w:rsidR="002E442C" w:rsidRPr="006E0575" w:rsidRDefault="00D80D8A" w:rsidP="002812E4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2E442C" w:rsidRDefault="002E442C" w:rsidP="003B4312">
            <w:pPr>
              <w:jc w:val="center"/>
              <w:rPr>
                <w:sz w:val="20"/>
              </w:rPr>
            </w:pPr>
          </w:p>
          <w:p w:rsidR="002E442C" w:rsidRPr="006E0575" w:rsidRDefault="00D80D8A" w:rsidP="005B4A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</w:t>
            </w:r>
            <w:r w:rsidR="00FE1601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8" w:type="dxa"/>
          </w:tcPr>
          <w:p w:rsidR="002E442C" w:rsidRDefault="002E442C" w:rsidP="002812E4">
            <w:pPr>
              <w:rPr>
                <w:sz w:val="20"/>
              </w:rPr>
            </w:pPr>
          </w:p>
          <w:p w:rsidR="00FE1601" w:rsidRDefault="00FE1601" w:rsidP="00FE1601">
            <w:pPr>
              <w:rPr>
                <w:sz w:val="20"/>
              </w:rPr>
            </w:pPr>
            <w:r>
              <w:rPr>
                <w:sz w:val="20"/>
              </w:rPr>
              <w:t>Sachbearbeiter/-in</w:t>
            </w:r>
          </w:p>
          <w:p w:rsidR="002E442C" w:rsidRPr="006E0575" w:rsidRDefault="00FE1601" w:rsidP="00FE1601">
            <w:pPr>
              <w:rPr>
                <w:sz w:val="20"/>
              </w:rPr>
            </w:pPr>
            <w:r>
              <w:rPr>
                <w:sz w:val="20"/>
              </w:rPr>
              <w:t>Widerspruch</w:t>
            </w:r>
          </w:p>
        </w:tc>
        <w:tc>
          <w:tcPr>
            <w:tcW w:w="737" w:type="dxa"/>
            <w:shd w:val="pct12" w:color="auto" w:fill="FFFFFF"/>
          </w:tcPr>
          <w:p w:rsidR="002E442C" w:rsidRDefault="002E442C" w:rsidP="003B4312">
            <w:pPr>
              <w:jc w:val="center"/>
              <w:rPr>
                <w:sz w:val="20"/>
              </w:rPr>
            </w:pPr>
          </w:p>
          <w:p w:rsidR="002E442C" w:rsidRPr="006E0575" w:rsidRDefault="00F94357" w:rsidP="003B4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4" w:type="dxa"/>
          </w:tcPr>
          <w:p w:rsidR="002E442C" w:rsidRDefault="002E442C" w:rsidP="003B4312">
            <w:pPr>
              <w:jc w:val="center"/>
              <w:rPr>
                <w:sz w:val="20"/>
              </w:rPr>
            </w:pPr>
          </w:p>
          <w:p w:rsidR="00597BEF" w:rsidRPr="007C0082" w:rsidRDefault="00597BEF" w:rsidP="00597BEF">
            <w:pPr>
              <w:jc w:val="center"/>
              <w:rPr>
                <w:b/>
                <w:sz w:val="16"/>
                <w:szCs w:val="16"/>
              </w:rPr>
            </w:pPr>
            <w:r w:rsidRPr="007C0082">
              <w:rPr>
                <w:b/>
                <w:sz w:val="16"/>
                <w:szCs w:val="16"/>
              </w:rPr>
              <w:t>alt</w:t>
            </w:r>
          </w:p>
          <w:p w:rsidR="00597BEF" w:rsidRDefault="00597BEF" w:rsidP="00597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 01/2017</w:t>
            </w:r>
          </w:p>
          <w:p w:rsidR="00597BEF" w:rsidRPr="007C0082" w:rsidRDefault="00597BEF" w:rsidP="00597BEF">
            <w:pPr>
              <w:jc w:val="center"/>
              <w:rPr>
                <w:b/>
                <w:sz w:val="16"/>
                <w:szCs w:val="16"/>
              </w:rPr>
            </w:pPr>
            <w:r w:rsidRPr="007C0082">
              <w:rPr>
                <w:b/>
                <w:sz w:val="16"/>
                <w:szCs w:val="16"/>
              </w:rPr>
              <w:t>neu</w:t>
            </w:r>
          </w:p>
          <w:p w:rsidR="00597BEF" w:rsidRDefault="00597BEF" w:rsidP="00597BEF">
            <w:pPr>
              <w:jc w:val="center"/>
              <w:rPr>
                <w:sz w:val="16"/>
                <w:szCs w:val="16"/>
              </w:rPr>
            </w:pPr>
            <w:r w:rsidRPr="00D80D8A">
              <w:rPr>
                <w:sz w:val="16"/>
                <w:szCs w:val="16"/>
              </w:rPr>
              <w:t>KW 01/201</w:t>
            </w:r>
            <w:r>
              <w:rPr>
                <w:sz w:val="16"/>
                <w:szCs w:val="16"/>
              </w:rPr>
              <w:t>9</w:t>
            </w:r>
          </w:p>
          <w:p w:rsidR="00D80D8A" w:rsidRPr="006E0575" w:rsidRDefault="00D80D8A" w:rsidP="00BA1D2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E442C" w:rsidRDefault="002E442C" w:rsidP="003B4312">
            <w:pPr>
              <w:jc w:val="center"/>
              <w:rPr>
                <w:sz w:val="20"/>
              </w:rPr>
            </w:pPr>
          </w:p>
          <w:p w:rsidR="002E442C" w:rsidRPr="006E0575" w:rsidRDefault="00D27EFC" w:rsidP="003B43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31.350</w:t>
            </w:r>
          </w:p>
        </w:tc>
      </w:tr>
    </w:tbl>
    <w:p w:rsidR="00694161" w:rsidRPr="00694161" w:rsidRDefault="00694161" w:rsidP="00694161"/>
    <w:p w:rsidR="00A943EF" w:rsidRPr="00884770" w:rsidRDefault="00A943EF" w:rsidP="00A943EF">
      <w:pPr>
        <w:rPr>
          <w:b/>
          <w:sz w:val="22"/>
          <w:szCs w:val="22"/>
          <w:u w:val="single"/>
        </w:rPr>
      </w:pPr>
      <w:r w:rsidRPr="00884770">
        <w:rPr>
          <w:b/>
          <w:sz w:val="22"/>
          <w:szCs w:val="22"/>
          <w:u w:val="single"/>
        </w:rPr>
        <w:t>Be</w:t>
      </w:r>
      <w:r w:rsidRPr="00884770">
        <w:rPr>
          <w:b/>
          <w:sz w:val="22"/>
          <w:szCs w:val="22"/>
        </w:rPr>
        <w:t>g</w:t>
      </w:r>
      <w:r w:rsidRPr="00884770">
        <w:rPr>
          <w:b/>
          <w:sz w:val="22"/>
          <w:szCs w:val="22"/>
          <w:u w:val="single"/>
        </w:rPr>
        <w:t>ründun</w:t>
      </w:r>
      <w:r w:rsidRPr="00884770">
        <w:rPr>
          <w:b/>
          <w:sz w:val="22"/>
          <w:szCs w:val="22"/>
        </w:rPr>
        <w:t>g</w:t>
      </w:r>
      <w:r w:rsidRPr="00884770">
        <w:rPr>
          <w:b/>
          <w:sz w:val="22"/>
          <w:szCs w:val="22"/>
          <w:u w:val="single"/>
        </w:rPr>
        <w:t>:</w:t>
      </w:r>
    </w:p>
    <w:p w:rsidR="00A943EF" w:rsidRPr="00884770" w:rsidRDefault="00A943EF" w:rsidP="00A943EF">
      <w:pPr>
        <w:rPr>
          <w:sz w:val="22"/>
          <w:szCs w:val="22"/>
        </w:rPr>
      </w:pPr>
    </w:p>
    <w:p w:rsidR="00A943EF" w:rsidRPr="00884770" w:rsidRDefault="00A943EF" w:rsidP="00A943EF">
      <w:pPr>
        <w:rPr>
          <w:rStyle w:val="CharacterStyle1"/>
          <w:rFonts w:cs="Arial"/>
          <w:sz w:val="22"/>
          <w:szCs w:val="22"/>
        </w:rPr>
      </w:pPr>
      <w:r w:rsidRPr="00884770">
        <w:rPr>
          <w:rStyle w:val="CharacterStyle1"/>
          <w:rFonts w:cs="Arial"/>
          <w:sz w:val="22"/>
          <w:szCs w:val="22"/>
        </w:rPr>
        <w:t xml:space="preserve">Beantragt wird </w:t>
      </w:r>
      <w:r w:rsidR="0014667D">
        <w:rPr>
          <w:rStyle w:val="CharacterStyle1"/>
          <w:rFonts w:cs="Arial"/>
          <w:sz w:val="22"/>
          <w:szCs w:val="22"/>
        </w:rPr>
        <w:t xml:space="preserve">die Verlängerung </w:t>
      </w:r>
      <w:r w:rsidRPr="00884770">
        <w:rPr>
          <w:rStyle w:val="CharacterStyle1"/>
          <w:rFonts w:cs="Arial"/>
          <w:sz w:val="22"/>
          <w:szCs w:val="22"/>
        </w:rPr>
        <w:t>des Stellenvermerks von einer 0,5 Stelle, EG 10, für die Bea</w:t>
      </w:r>
      <w:r w:rsidRPr="00884770">
        <w:rPr>
          <w:rStyle w:val="CharacterStyle1"/>
          <w:rFonts w:cs="Arial"/>
          <w:sz w:val="22"/>
          <w:szCs w:val="22"/>
        </w:rPr>
        <w:t>r</w:t>
      </w:r>
      <w:r w:rsidRPr="00884770">
        <w:rPr>
          <w:rStyle w:val="CharacterStyle1"/>
          <w:rFonts w:cs="Arial"/>
          <w:sz w:val="22"/>
          <w:szCs w:val="22"/>
        </w:rPr>
        <w:t>beitung von Widerspruchs- und Sozialgerichtsverfahren im Sachgebiet Widerspruch.</w:t>
      </w:r>
    </w:p>
    <w:p w:rsidR="00A943EF" w:rsidRPr="00884770" w:rsidRDefault="00A943EF" w:rsidP="00A943EF">
      <w:pPr>
        <w:rPr>
          <w:rStyle w:val="CharacterStyle1"/>
          <w:rFonts w:cs="Arial"/>
          <w:sz w:val="22"/>
          <w:szCs w:val="22"/>
        </w:rPr>
      </w:pPr>
    </w:p>
    <w:p w:rsidR="00A943EF" w:rsidRDefault="00A943EF" w:rsidP="00A943EF">
      <w:pPr>
        <w:rPr>
          <w:sz w:val="22"/>
          <w:szCs w:val="22"/>
        </w:rPr>
      </w:pPr>
      <w:r w:rsidRPr="00884770">
        <w:rPr>
          <w:sz w:val="22"/>
          <w:szCs w:val="22"/>
        </w:rPr>
        <w:t>Mit dem Geschäftsplan 2016 (</w:t>
      </w:r>
      <w:r w:rsidRPr="00884770">
        <w:rPr>
          <w:rFonts w:cs="Arial"/>
          <w:color w:val="000000"/>
          <w:sz w:val="22"/>
          <w:szCs w:val="22"/>
        </w:rPr>
        <w:t xml:space="preserve">GRDrs. 1209/2015, Anlage 3) wurden </w:t>
      </w:r>
      <w:r w:rsidRPr="00884770">
        <w:rPr>
          <w:rStyle w:val="CharacterStyle1"/>
          <w:rFonts w:cs="Arial"/>
          <w:sz w:val="22"/>
          <w:szCs w:val="22"/>
        </w:rPr>
        <w:t>im Sachgebiet Wide</w:t>
      </w:r>
      <w:r w:rsidRPr="00884770">
        <w:rPr>
          <w:rStyle w:val="CharacterStyle1"/>
          <w:rFonts w:cs="Arial"/>
          <w:sz w:val="22"/>
          <w:szCs w:val="22"/>
        </w:rPr>
        <w:t>r</w:t>
      </w:r>
      <w:r w:rsidRPr="00884770">
        <w:rPr>
          <w:rStyle w:val="CharacterStyle1"/>
          <w:rFonts w:cs="Arial"/>
          <w:sz w:val="22"/>
          <w:szCs w:val="22"/>
        </w:rPr>
        <w:t xml:space="preserve">spruch 1,20 Stellen, EG10, für die Bearbeitung von Widerspruchs- und Sozialgerichtsverfahren geschaffen. Davon sind 0,5 Stellenanteile mit einem KW-Vermerk bis 01/2017 versehen. Grund für die Schaffung war, dass sich aus den jährlich durchschnittlich 2.100 Verfahren (2012 bis 2015) </w:t>
      </w:r>
      <w:r w:rsidRPr="00884770">
        <w:rPr>
          <w:sz w:val="22"/>
          <w:szCs w:val="22"/>
        </w:rPr>
        <w:t>ein zusätzlicher Bedarf von 1,2 Stellen ergibt.</w:t>
      </w:r>
    </w:p>
    <w:p w:rsidR="00E318C9" w:rsidRDefault="00E318C9" w:rsidP="00A943EF">
      <w:pPr>
        <w:rPr>
          <w:sz w:val="22"/>
          <w:szCs w:val="22"/>
        </w:rPr>
      </w:pPr>
    </w:p>
    <w:p w:rsidR="00E318C9" w:rsidRPr="00884770" w:rsidRDefault="00E318C9" w:rsidP="00A943EF">
      <w:pPr>
        <w:rPr>
          <w:sz w:val="22"/>
          <w:szCs w:val="22"/>
        </w:rPr>
      </w:pPr>
      <w:r>
        <w:rPr>
          <w:sz w:val="22"/>
          <w:szCs w:val="22"/>
        </w:rPr>
        <w:t xml:space="preserve">Zwischenzeitlich hat sich gezeigt, dass auch 2016 die gleiche Anzahl an Verfahren </w:t>
      </w:r>
      <w:r w:rsidR="00784FAB">
        <w:rPr>
          <w:sz w:val="22"/>
          <w:szCs w:val="22"/>
        </w:rPr>
        <w:t>zu bearbe</w:t>
      </w:r>
      <w:r w:rsidR="00784FAB">
        <w:rPr>
          <w:sz w:val="22"/>
          <w:szCs w:val="22"/>
        </w:rPr>
        <w:t>i</w:t>
      </w:r>
      <w:r w:rsidR="00784FAB">
        <w:rPr>
          <w:sz w:val="22"/>
          <w:szCs w:val="22"/>
        </w:rPr>
        <w:t xml:space="preserve">ten </w:t>
      </w:r>
      <w:r w:rsidR="00253CD7">
        <w:rPr>
          <w:sz w:val="22"/>
          <w:szCs w:val="22"/>
        </w:rPr>
        <w:t>ist</w:t>
      </w:r>
      <w:r w:rsidR="00784F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 sich die Gesamtzahl </w:t>
      </w:r>
      <w:r w:rsidR="00451F8E">
        <w:rPr>
          <w:sz w:val="22"/>
          <w:szCs w:val="22"/>
        </w:rPr>
        <w:t xml:space="preserve">der Verfahren </w:t>
      </w:r>
      <w:r>
        <w:rPr>
          <w:sz w:val="22"/>
          <w:szCs w:val="22"/>
        </w:rPr>
        <w:t xml:space="preserve">auf einem Niveau von </w:t>
      </w:r>
      <w:r w:rsidR="00253CD7">
        <w:rPr>
          <w:sz w:val="22"/>
          <w:szCs w:val="22"/>
        </w:rPr>
        <w:t xml:space="preserve">durchschnittlich </w:t>
      </w:r>
      <w:r w:rsidR="00451F8E">
        <w:rPr>
          <w:sz w:val="22"/>
          <w:szCs w:val="22"/>
        </w:rPr>
        <w:t xml:space="preserve">ca. </w:t>
      </w:r>
      <w:r>
        <w:rPr>
          <w:sz w:val="22"/>
          <w:szCs w:val="22"/>
        </w:rPr>
        <w:t xml:space="preserve">2.100 jährlich einpendelt. Insoweit </w:t>
      </w:r>
      <w:r w:rsidR="00451F8E">
        <w:rPr>
          <w:sz w:val="22"/>
          <w:szCs w:val="22"/>
        </w:rPr>
        <w:t>besteht</w:t>
      </w:r>
      <w:r>
        <w:rPr>
          <w:sz w:val="22"/>
          <w:szCs w:val="22"/>
        </w:rPr>
        <w:t xml:space="preserve"> der </w:t>
      </w:r>
      <w:r w:rsidR="00451F8E">
        <w:rPr>
          <w:sz w:val="22"/>
          <w:szCs w:val="22"/>
        </w:rPr>
        <w:t>mit dem Geschäftsplan 2016 zusätzlich geltend g</w:t>
      </w:r>
      <w:r w:rsidR="00451F8E">
        <w:rPr>
          <w:sz w:val="22"/>
          <w:szCs w:val="22"/>
        </w:rPr>
        <w:t>e</w:t>
      </w:r>
      <w:r w:rsidR="00451F8E">
        <w:rPr>
          <w:sz w:val="22"/>
          <w:szCs w:val="22"/>
        </w:rPr>
        <w:t xml:space="preserve">machte </w:t>
      </w:r>
      <w:r>
        <w:rPr>
          <w:sz w:val="22"/>
          <w:szCs w:val="22"/>
        </w:rPr>
        <w:t>Bedarf weiterhin</w:t>
      </w:r>
      <w:r w:rsidR="00451F8E">
        <w:rPr>
          <w:sz w:val="22"/>
          <w:szCs w:val="22"/>
        </w:rPr>
        <w:t xml:space="preserve"> </w:t>
      </w:r>
      <w:r w:rsidR="00784FAB">
        <w:rPr>
          <w:sz w:val="22"/>
          <w:szCs w:val="22"/>
        </w:rPr>
        <w:t>im</w:t>
      </w:r>
      <w:r w:rsidR="00451F8E">
        <w:rPr>
          <w:sz w:val="22"/>
          <w:szCs w:val="22"/>
        </w:rPr>
        <w:t xml:space="preserve"> Umfang</w:t>
      </w:r>
      <w:r w:rsidR="00784FAB">
        <w:rPr>
          <w:sz w:val="22"/>
          <w:szCs w:val="22"/>
        </w:rPr>
        <w:t xml:space="preserve"> von insgesamt 1,20 Stellen</w:t>
      </w:r>
      <w:r>
        <w:rPr>
          <w:sz w:val="22"/>
          <w:szCs w:val="22"/>
        </w:rPr>
        <w:t>.</w:t>
      </w:r>
    </w:p>
    <w:p w:rsidR="00A943EF" w:rsidRPr="00884770" w:rsidRDefault="00A943EF" w:rsidP="00A943EF">
      <w:pPr>
        <w:rPr>
          <w:sz w:val="22"/>
          <w:szCs w:val="22"/>
        </w:rPr>
      </w:pPr>
    </w:p>
    <w:p w:rsidR="00A943EF" w:rsidRPr="00884770" w:rsidRDefault="00451F8E" w:rsidP="00244D92">
      <w:pPr>
        <w:rPr>
          <w:sz w:val="22"/>
          <w:szCs w:val="22"/>
        </w:rPr>
      </w:pPr>
      <w:r w:rsidRPr="00451F8E">
        <w:rPr>
          <w:sz w:val="22"/>
          <w:szCs w:val="22"/>
        </w:rPr>
        <w:t xml:space="preserve">Bis </w:t>
      </w:r>
      <w:r w:rsidR="00E318C9" w:rsidRPr="00451F8E">
        <w:rPr>
          <w:sz w:val="22"/>
          <w:szCs w:val="22"/>
        </w:rPr>
        <w:t>M</w:t>
      </w:r>
      <w:r w:rsidR="00244D92" w:rsidRPr="00451F8E">
        <w:rPr>
          <w:sz w:val="22"/>
          <w:szCs w:val="22"/>
        </w:rPr>
        <w:t>itte</w:t>
      </w:r>
      <w:r w:rsidR="00CA2FE3" w:rsidRPr="00451F8E">
        <w:rPr>
          <w:sz w:val="22"/>
          <w:szCs w:val="22"/>
        </w:rPr>
        <w:t xml:space="preserve"> November 2016 </w:t>
      </w:r>
      <w:r w:rsidR="00522CA2">
        <w:rPr>
          <w:sz w:val="22"/>
          <w:szCs w:val="22"/>
        </w:rPr>
        <w:t>wurden</w:t>
      </w:r>
      <w:r w:rsidRPr="00451F8E">
        <w:rPr>
          <w:sz w:val="22"/>
          <w:szCs w:val="22"/>
        </w:rPr>
        <w:t xml:space="preserve"> beim Widerspruchs-Team 1</w:t>
      </w:r>
      <w:r w:rsidR="00253CD7">
        <w:rPr>
          <w:sz w:val="22"/>
          <w:szCs w:val="22"/>
        </w:rPr>
        <w:t>.</w:t>
      </w:r>
      <w:r w:rsidRPr="00451F8E">
        <w:rPr>
          <w:sz w:val="22"/>
          <w:szCs w:val="22"/>
        </w:rPr>
        <w:t xml:space="preserve">800 Verfahren </w:t>
      </w:r>
      <w:r w:rsidR="00CA2FE3" w:rsidRPr="00451F8E">
        <w:rPr>
          <w:sz w:val="22"/>
          <w:szCs w:val="22"/>
        </w:rPr>
        <w:t>anhängig</w:t>
      </w:r>
      <w:r w:rsidR="00522CA2">
        <w:rPr>
          <w:sz w:val="22"/>
          <w:szCs w:val="22"/>
        </w:rPr>
        <w:t xml:space="preserve"> bzw. vorgelegt</w:t>
      </w:r>
      <w:r w:rsidR="004D1688" w:rsidRPr="00451F8E">
        <w:rPr>
          <w:sz w:val="22"/>
          <w:szCs w:val="22"/>
        </w:rPr>
        <w:t>. B</w:t>
      </w:r>
      <w:r w:rsidR="00884770" w:rsidRPr="00451F8E">
        <w:rPr>
          <w:sz w:val="22"/>
          <w:szCs w:val="22"/>
        </w:rPr>
        <w:t xml:space="preserve">is Ende 2016 </w:t>
      </w:r>
      <w:r w:rsidR="00A943EF" w:rsidRPr="00451F8E">
        <w:rPr>
          <w:sz w:val="22"/>
          <w:szCs w:val="22"/>
        </w:rPr>
        <w:t xml:space="preserve">zeichnet sich </w:t>
      </w:r>
      <w:r w:rsidR="00E318C9" w:rsidRPr="00451F8E">
        <w:rPr>
          <w:sz w:val="22"/>
          <w:szCs w:val="22"/>
        </w:rPr>
        <w:t xml:space="preserve">damit </w:t>
      </w:r>
      <w:r w:rsidR="00A943EF" w:rsidRPr="00451F8E">
        <w:rPr>
          <w:sz w:val="22"/>
          <w:szCs w:val="22"/>
        </w:rPr>
        <w:t xml:space="preserve">ab, dass </w:t>
      </w:r>
      <w:r w:rsidRPr="00451F8E">
        <w:rPr>
          <w:sz w:val="22"/>
          <w:szCs w:val="22"/>
        </w:rPr>
        <w:t>der Durchschnitt der Anzahl der Verfa</w:t>
      </w:r>
      <w:r w:rsidRPr="00451F8E">
        <w:rPr>
          <w:sz w:val="22"/>
          <w:szCs w:val="22"/>
        </w:rPr>
        <w:t>h</w:t>
      </w:r>
      <w:r w:rsidRPr="00451F8E">
        <w:rPr>
          <w:sz w:val="22"/>
          <w:szCs w:val="22"/>
        </w:rPr>
        <w:t>ren der Vorjahre erreicht wird (ca. 2100 Verfahren), zumal e</w:t>
      </w:r>
      <w:r w:rsidR="0020707F" w:rsidRPr="00451F8E">
        <w:rPr>
          <w:sz w:val="22"/>
          <w:szCs w:val="22"/>
        </w:rPr>
        <w:t>rfahrungsgemäß im Dezember der WS-Stelle</w:t>
      </w:r>
      <w:r w:rsidR="00253CD7">
        <w:rPr>
          <w:sz w:val="22"/>
          <w:szCs w:val="22"/>
        </w:rPr>
        <w:t xml:space="preserve"> von den Zweigstellen</w:t>
      </w:r>
      <w:r w:rsidR="0020707F" w:rsidRPr="00451F8E">
        <w:rPr>
          <w:sz w:val="22"/>
          <w:szCs w:val="22"/>
        </w:rPr>
        <w:t xml:space="preserve"> überdurchschnittlich viele Widersprüche zur Entscheidung vo</w:t>
      </w:r>
      <w:r w:rsidR="0020707F" w:rsidRPr="00451F8E">
        <w:rPr>
          <w:sz w:val="22"/>
          <w:szCs w:val="22"/>
        </w:rPr>
        <w:t>r</w:t>
      </w:r>
      <w:r w:rsidR="0020707F" w:rsidRPr="00451F8E">
        <w:rPr>
          <w:sz w:val="22"/>
          <w:szCs w:val="22"/>
        </w:rPr>
        <w:t>gelegt</w:t>
      </w:r>
      <w:r w:rsidRPr="00451F8E">
        <w:rPr>
          <w:sz w:val="22"/>
          <w:szCs w:val="22"/>
        </w:rPr>
        <w:t xml:space="preserve"> werden</w:t>
      </w:r>
      <w:r w:rsidR="0020707F" w:rsidRPr="00451F8E">
        <w:rPr>
          <w:sz w:val="22"/>
          <w:szCs w:val="22"/>
        </w:rPr>
        <w:t>.</w:t>
      </w:r>
      <w:r w:rsidR="0045692D">
        <w:rPr>
          <w:sz w:val="22"/>
          <w:szCs w:val="22"/>
        </w:rPr>
        <w:t xml:space="preserve"> </w:t>
      </w:r>
      <w:r w:rsidR="00A943EF" w:rsidRPr="00884770">
        <w:rPr>
          <w:sz w:val="22"/>
          <w:szCs w:val="22"/>
        </w:rPr>
        <w:t>Ergänzend zur bisherigen Einschätzungen ergibt sich eine weitere Steigerung der Widerspruchs- und Klageverfahren durch die vielen Änderungen des Rechtsvereinf</w:t>
      </w:r>
      <w:r w:rsidR="00A943EF" w:rsidRPr="00884770">
        <w:rPr>
          <w:sz w:val="22"/>
          <w:szCs w:val="22"/>
        </w:rPr>
        <w:t>a</w:t>
      </w:r>
      <w:r w:rsidR="00A943EF" w:rsidRPr="00884770">
        <w:rPr>
          <w:sz w:val="22"/>
          <w:szCs w:val="22"/>
        </w:rPr>
        <w:t xml:space="preserve">chungsgesetzes – in Kraft seit 01.08.2016 - und der zu erwartenden weiteren Entwicklung der Anzahl der Bedarfsgemeinschaften. </w:t>
      </w:r>
      <w:r w:rsidR="00A943EF" w:rsidRPr="00884770">
        <w:rPr>
          <w:rFonts w:cs="Arial"/>
          <w:color w:val="000000"/>
          <w:sz w:val="22"/>
          <w:szCs w:val="22"/>
        </w:rPr>
        <w:t>Zudem ist die Anzahl der unerledigten Widerspruchsverfa</w:t>
      </w:r>
      <w:r w:rsidR="00A943EF" w:rsidRPr="00884770">
        <w:rPr>
          <w:rFonts w:cs="Arial"/>
          <w:color w:val="000000"/>
          <w:sz w:val="22"/>
          <w:szCs w:val="22"/>
        </w:rPr>
        <w:t>h</w:t>
      </w:r>
      <w:r w:rsidR="00A943EF" w:rsidRPr="00884770">
        <w:rPr>
          <w:rFonts w:cs="Arial"/>
          <w:color w:val="000000"/>
          <w:sz w:val="22"/>
          <w:szCs w:val="22"/>
        </w:rPr>
        <w:t>ren seit Jahresbeginn um 125 auf 379 gestiegen.</w:t>
      </w:r>
    </w:p>
    <w:p w:rsidR="00A943EF" w:rsidRPr="00884770" w:rsidRDefault="00A943EF" w:rsidP="00A943EF">
      <w:pPr>
        <w:rPr>
          <w:sz w:val="22"/>
          <w:szCs w:val="22"/>
        </w:rPr>
      </w:pPr>
    </w:p>
    <w:p w:rsidR="0014667D" w:rsidRDefault="00A943EF" w:rsidP="00A943EF">
      <w:pPr>
        <w:rPr>
          <w:sz w:val="22"/>
          <w:szCs w:val="22"/>
        </w:rPr>
      </w:pPr>
      <w:r w:rsidRPr="00884770">
        <w:rPr>
          <w:rFonts w:cs="Arial"/>
          <w:sz w:val="22"/>
          <w:szCs w:val="22"/>
        </w:rPr>
        <w:t>Sollte der mit dem KW-Vermerk versehene Stellenanteil wegfallen, ist d</w:t>
      </w:r>
      <w:r w:rsidRPr="00884770">
        <w:rPr>
          <w:sz w:val="22"/>
          <w:szCs w:val="22"/>
        </w:rPr>
        <w:t>ie Gewährleistung des Rechtsanspruches auf die Entscheidung eines Widerspruches binnen drei Monaten für ca. ein Drittel der Verfahren nicht (mehr) möglich. Nicht rechtzeitig entschiedene Widersprüche führen zudem zu kostenverursachenden Untätigkeitsklagen.</w:t>
      </w:r>
      <w:r w:rsidR="00400047">
        <w:rPr>
          <w:sz w:val="22"/>
          <w:szCs w:val="22"/>
        </w:rPr>
        <w:t xml:space="preserve"> </w:t>
      </w:r>
      <w:r w:rsidRPr="00884770">
        <w:rPr>
          <w:sz w:val="22"/>
          <w:szCs w:val="22"/>
        </w:rPr>
        <w:t>Zudem können in Fällen, in denen zu U</w:t>
      </w:r>
      <w:r w:rsidRPr="00884770">
        <w:rPr>
          <w:sz w:val="22"/>
          <w:szCs w:val="22"/>
        </w:rPr>
        <w:t>n</w:t>
      </w:r>
      <w:r w:rsidRPr="00884770">
        <w:rPr>
          <w:sz w:val="22"/>
          <w:szCs w:val="22"/>
        </w:rPr>
        <w:t>recht gewährte Leistungen zurückgefordert werden, Finanzmittel des Bundes und der Stadt nicht mehr geltend gemacht werden, wenn die Ausschlussfrist von einem Jahr abgelaufen ist.</w:t>
      </w:r>
      <w:r w:rsidR="0014667D">
        <w:rPr>
          <w:sz w:val="22"/>
          <w:szCs w:val="22"/>
        </w:rPr>
        <w:t xml:space="preserve"> </w:t>
      </w:r>
    </w:p>
    <w:p w:rsidR="0014667D" w:rsidRDefault="0014667D" w:rsidP="00A943EF">
      <w:pPr>
        <w:rPr>
          <w:sz w:val="22"/>
          <w:szCs w:val="22"/>
        </w:rPr>
      </w:pPr>
    </w:p>
    <w:p w:rsidR="0014667D" w:rsidRPr="00884770" w:rsidRDefault="0014667D" w:rsidP="00A943EF">
      <w:pPr>
        <w:rPr>
          <w:sz w:val="22"/>
          <w:szCs w:val="22"/>
        </w:rPr>
      </w:pPr>
      <w:r w:rsidRPr="005E6D96">
        <w:rPr>
          <w:rFonts w:cs="Arial"/>
          <w:sz w:val="22"/>
          <w:szCs w:val="22"/>
        </w:rPr>
        <w:t xml:space="preserve">Der KW-Vermerk dieser Stelle soll daher </w:t>
      </w:r>
      <w:r>
        <w:rPr>
          <w:rFonts w:cs="Arial"/>
          <w:sz w:val="22"/>
          <w:szCs w:val="22"/>
        </w:rPr>
        <w:t>bis 01/2019</w:t>
      </w:r>
      <w:r w:rsidRPr="005E6D96">
        <w:rPr>
          <w:rFonts w:cs="Arial"/>
          <w:sz w:val="22"/>
          <w:szCs w:val="22"/>
        </w:rPr>
        <w:t xml:space="preserve"> verlängert werden.</w:t>
      </w:r>
    </w:p>
    <w:sectPr w:rsidR="0014667D" w:rsidRPr="00884770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C9" w:rsidRDefault="00E318C9">
      <w:r>
        <w:separator/>
      </w:r>
    </w:p>
  </w:endnote>
  <w:endnote w:type="continuationSeparator" w:id="0">
    <w:p w:rsidR="00E318C9" w:rsidRDefault="00E3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C9" w:rsidRDefault="00E318C9">
      <w:r>
        <w:separator/>
      </w:r>
    </w:p>
  </w:footnote>
  <w:footnote w:type="continuationSeparator" w:id="0">
    <w:p w:rsidR="00E318C9" w:rsidRDefault="00E3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C9" w:rsidRDefault="00E318C9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E32E57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32E57">
      <w:rPr>
        <w:rStyle w:val="Seitenzahl"/>
      </w:rPr>
      <w:fldChar w:fldCharType="separate"/>
    </w:r>
    <w:r w:rsidR="0014667D">
      <w:rPr>
        <w:rStyle w:val="Seitenzahl"/>
        <w:noProof/>
      </w:rPr>
      <w:t>2</w:t>
    </w:r>
    <w:r w:rsidR="00E32E57">
      <w:rPr>
        <w:rStyle w:val="Seitenzahl"/>
      </w:rPr>
      <w:fldChar w:fldCharType="end"/>
    </w:r>
    <w:r>
      <w:rPr>
        <w:rStyle w:val="Seitenzahl"/>
      </w:rPr>
      <w:t xml:space="preserve"> -</w:t>
    </w:r>
  </w:p>
  <w:p w:rsidR="00E318C9" w:rsidRDefault="00E318C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51A26"/>
    <w:rsid w:val="000546A6"/>
    <w:rsid w:val="00074EBA"/>
    <w:rsid w:val="000A1146"/>
    <w:rsid w:val="000A2557"/>
    <w:rsid w:val="000A25FB"/>
    <w:rsid w:val="000E4177"/>
    <w:rsid w:val="0010765A"/>
    <w:rsid w:val="0014667D"/>
    <w:rsid w:val="00153F44"/>
    <w:rsid w:val="00165C0D"/>
    <w:rsid w:val="00181578"/>
    <w:rsid w:val="00181857"/>
    <w:rsid w:val="00193A16"/>
    <w:rsid w:val="001A2BB3"/>
    <w:rsid w:val="0020707F"/>
    <w:rsid w:val="00213539"/>
    <w:rsid w:val="00213C7A"/>
    <w:rsid w:val="00244D92"/>
    <w:rsid w:val="00253CD7"/>
    <w:rsid w:val="002812E4"/>
    <w:rsid w:val="002924CB"/>
    <w:rsid w:val="002C2ECA"/>
    <w:rsid w:val="002D4092"/>
    <w:rsid w:val="002E14E4"/>
    <w:rsid w:val="002E442C"/>
    <w:rsid w:val="003B4312"/>
    <w:rsid w:val="003D7B0B"/>
    <w:rsid w:val="00400047"/>
    <w:rsid w:val="004054DF"/>
    <w:rsid w:val="00411D7A"/>
    <w:rsid w:val="00436B6D"/>
    <w:rsid w:val="004434E0"/>
    <w:rsid w:val="00451F8E"/>
    <w:rsid w:val="0045692D"/>
    <w:rsid w:val="00481542"/>
    <w:rsid w:val="004B6796"/>
    <w:rsid w:val="004D1688"/>
    <w:rsid w:val="004E6D51"/>
    <w:rsid w:val="00516617"/>
    <w:rsid w:val="00522CA2"/>
    <w:rsid w:val="005534CD"/>
    <w:rsid w:val="0055585B"/>
    <w:rsid w:val="00597BEF"/>
    <w:rsid w:val="005B4AAA"/>
    <w:rsid w:val="00611765"/>
    <w:rsid w:val="0063029F"/>
    <w:rsid w:val="00694161"/>
    <w:rsid w:val="006E0575"/>
    <w:rsid w:val="00723653"/>
    <w:rsid w:val="00784FAB"/>
    <w:rsid w:val="00797EED"/>
    <w:rsid w:val="007B57B1"/>
    <w:rsid w:val="00884770"/>
    <w:rsid w:val="00884D6C"/>
    <w:rsid w:val="00903FD7"/>
    <w:rsid w:val="009D18DB"/>
    <w:rsid w:val="00A34898"/>
    <w:rsid w:val="00A509C5"/>
    <w:rsid w:val="00A77F1E"/>
    <w:rsid w:val="00A833A7"/>
    <w:rsid w:val="00A943EF"/>
    <w:rsid w:val="00AA070C"/>
    <w:rsid w:val="00AA28C7"/>
    <w:rsid w:val="00AE10D7"/>
    <w:rsid w:val="00AF0C3B"/>
    <w:rsid w:val="00B04290"/>
    <w:rsid w:val="00B0671E"/>
    <w:rsid w:val="00B638B0"/>
    <w:rsid w:val="00B66C18"/>
    <w:rsid w:val="00B70197"/>
    <w:rsid w:val="00B80DEF"/>
    <w:rsid w:val="00BA1D21"/>
    <w:rsid w:val="00C074C7"/>
    <w:rsid w:val="00C448D3"/>
    <w:rsid w:val="00C91E57"/>
    <w:rsid w:val="00CA2FE3"/>
    <w:rsid w:val="00CB5CD4"/>
    <w:rsid w:val="00CE6A71"/>
    <w:rsid w:val="00CF3D62"/>
    <w:rsid w:val="00D24277"/>
    <w:rsid w:val="00D258A8"/>
    <w:rsid w:val="00D27EFC"/>
    <w:rsid w:val="00D3679F"/>
    <w:rsid w:val="00D46290"/>
    <w:rsid w:val="00D72523"/>
    <w:rsid w:val="00D80D8A"/>
    <w:rsid w:val="00D85EA0"/>
    <w:rsid w:val="00DA22EA"/>
    <w:rsid w:val="00E1162F"/>
    <w:rsid w:val="00E11D5F"/>
    <w:rsid w:val="00E318C9"/>
    <w:rsid w:val="00E32E57"/>
    <w:rsid w:val="00E543DF"/>
    <w:rsid w:val="00EC2B97"/>
    <w:rsid w:val="00EC78CB"/>
    <w:rsid w:val="00EE1C76"/>
    <w:rsid w:val="00EF4BCB"/>
    <w:rsid w:val="00F27657"/>
    <w:rsid w:val="00F3775A"/>
    <w:rsid w:val="00F57BD6"/>
    <w:rsid w:val="00F716E3"/>
    <w:rsid w:val="00F94357"/>
    <w:rsid w:val="00FC5216"/>
    <w:rsid w:val="00FE1601"/>
    <w:rsid w:val="00FE4615"/>
    <w:rsid w:val="00F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812E4"/>
    <w:pPr>
      <w:keepNext/>
      <w:spacing w:before="480"/>
      <w:ind w:left="284" w:hanging="284"/>
      <w:outlineLvl w:val="0"/>
    </w:pPr>
    <w:rPr>
      <w:b/>
      <w:kern w:val="24"/>
      <w:u w:val="single"/>
    </w:rPr>
  </w:style>
  <w:style w:type="paragraph" w:styleId="berschrift2">
    <w:name w:val="heading 2"/>
    <w:basedOn w:val="Standard"/>
    <w:next w:val="Standard"/>
    <w:qFormat/>
    <w:rsid w:val="002812E4"/>
    <w:pPr>
      <w:keepNext/>
      <w:spacing w:before="240"/>
      <w:ind w:left="482" w:hanging="482"/>
      <w:outlineLvl w:val="1"/>
    </w:pPr>
    <w:rPr>
      <w:b/>
      <w:kern w:val="24"/>
    </w:rPr>
  </w:style>
  <w:style w:type="paragraph" w:styleId="berschrift3">
    <w:name w:val="heading 3"/>
    <w:basedOn w:val="Standard"/>
    <w:next w:val="Standard"/>
    <w:qFormat/>
    <w:rsid w:val="00B0671E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0671E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B0671E"/>
    <w:rPr>
      <w:sz w:val="16"/>
    </w:rPr>
  </w:style>
  <w:style w:type="paragraph" w:styleId="Kommentartext">
    <w:name w:val="annotation text"/>
    <w:basedOn w:val="Standard"/>
    <w:semiHidden/>
    <w:rsid w:val="00B0671E"/>
    <w:rPr>
      <w:sz w:val="20"/>
    </w:rPr>
  </w:style>
  <w:style w:type="paragraph" w:styleId="Fuzeile">
    <w:name w:val="footer"/>
    <w:basedOn w:val="Standard"/>
    <w:rsid w:val="00B0671E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B0671E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C91E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0D8A"/>
    <w:pPr>
      <w:ind w:left="708"/>
      <w:jc w:val="both"/>
    </w:pPr>
    <w:rPr>
      <w:sz w:val="20"/>
      <w:u w:val="single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CharacterStyle1">
    <w:name w:val="Character Style 1"/>
    <w:uiPriority w:val="99"/>
    <w:rsid w:val="00F9435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Verlängerung eines Stellenvermerks zum Stellenplan</vt:lpstr>
    </vt:vector>
  </TitlesOfParts>
  <Company>LHS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Verlängerung eines Stellenvermerks zum Stellenplan</dc:title>
  <dc:subject>Musterformular für das Stellenplanverfahren 2012/2013</dc:subject>
  <dc:creator>10-3</dc:creator>
  <cp:keywords/>
  <dc:description/>
  <cp:lastModifiedBy>Cornelia Gaß-Hildebrand</cp:lastModifiedBy>
  <cp:revision>5</cp:revision>
  <cp:lastPrinted>2016-10-26T08:50:00Z</cp:lastPrinted>
  <dcterms:created xsi:type="dcterms:W3CDTF">2016-12-07T11:13:00Z</dcterms:created>
  <dcterms:modified xsi:type="dcterms:W3CDTF">2016-12-07T11:29:00Z</dcterms:modified>
</cp:coreProperties>
</file>