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7D" w:rsidRPr="006E0575" w:rsidRDefault="00BB307D" w:rsidP="00BB307D">
      <w:pPr>
        <w:tabs>
          <w:tab w:val="left" w:pos="5812"/>
        </w:tabs>
        <w:jc w:val="right"/>
      </w:pPr>
      <w:r w:rsidRPr="006E0575">
        <w:rPr>
          <w:szCs w:val="24"/>
        </w:rPr>
        <w:t xml:space="preserve">Anlage </w:t>
      </w:r>
      <w:r>
        <w:rPr>
          <w:szCs w:val="24"/>
        </w:rPr>
        <w:t xml:space="preserve">6 </w:t>
      </w:r>
      <w:r w:rsidRPr="006E0575">
        <w:rPr>
          <w:szCs w:val="24"/>
        </w:rPr>
        <w:t xml:space="preserve">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B133D0">
        <w:rPr>
          <w:szCs w:val="24"/>
        </w:rPr>
        <w:t>1209</w:t>
      </w:r>
      <w:r>
        <w:rPr>
          <w:szCs w:val="24"/>
        </w:rPr>
        <w:t>/2015</w:t>
      </w:r>
    </w:p>
    <w:p w:rsidR="007130AB" w:rsidRPr="006E0575" w:rsidRDefault="007130AB" w:rsidP="006E0575"/>
    <w:p w:rsidR="007130AB" w:rsidRPr="006E0575" w:rsidRDefault="007130AB" w:rsidP="006E0575"/>
    <w:p w:rsidR="002821B0" w:rsidRDefault="002821B0" w:rsidP="002821B0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Ermächtigung zur Einstellung von Personal</w:t>
      </w:r>
    </w:p>
    <w:p w:rsidR="002821B0" w:rsidRDefault="002821B0" w:rsidP="002821B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u w:val="single"/>
        </w:rPr>
        <w:t xml:space="preserve">außerhalb des Stellenplans </w:t>
      </w:r>
      <w:r>
        <w:rPr>
          <w:b/>
          <w:sz w:val="36"/>
          <w:szCs w:val="36"/>
          <w:u w:val="single"/>
        </w:rPr>
        <w:t>ab dem Jahr</w:t>
      </w:r>
      <w:r w:rsidRPr="00E42F96">
        <w:rPr>
          <w:b/>
          <w:sz w:val="36"/>
          <w:szCs w:val="36"/>
          <w:u w:val="single"/>
        </w:rPr>
        <w:t xml:space="preserve"> 20</w:t>
      </w:r>
      <w:r>
        <w:rPr>
          <w:b/>
          <w:sz w:val="36"/>
          <w:szCs w:val="36"/>
          <w:u w:val="single"/>
        </w:rPr>
        <w:t>16</w:t>
      </w:r>
    </w:p>
    <w:p w:rsidR="007130AB" w:rsidRDefault="007130AB" w:rsidP="006E0575"/>
    <w:p w:rsidR="000F2210" w:rsidRDefault="000F2210" w:rsidP="006E0575"/>
    <w:p w:rsidR="007130AB" w:rsidRDefault="007130AB" w:rsidP="006E0575"/>
    <w:tbl>
      <w:tblPr>
        <w:tblW w:w="0" w:type="auto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7130AB" w:rsidRPr="006E0575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7130AB" w:rsidRPr="006E0575" w:rsidRDefault="007130AB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6E0575">
              <w:rPr>
                <w:sz w:val="16"/>
                <w:szCs w:val="16"/>
              </w:rPr>
              <w:t>Stpl</w:t>
            </w:r>
            <w:proofErr w:type="spellEnd"/>
            <w:r w:rsidRPr="006E0575">
              <w:rPr>
                <w:sz w:val="16"/>
                <w:szCs w:val="16"/>
              </w:rPr>
              <w:t>.)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>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7130AB" w:rsidRPr="006E0575" w:rsidRDefault="007130AB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7130AB" w:rsidRPr="006E0575" w:rsidRDefault="007130AB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wert</w:t>
            </w:r>
            <w:r w:rsidRPr="006E0575">
              <w:rPr>
                <w:sz w:val="16"/>
                <w:szCs w:val="16"/>
              </w:rPr>
              <w:br/>
              <w:t>Haushalt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7130AB" w:rsidRPr="006E0575" w:rsidRDefault="007130AB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7130AB" w:rsidRPr="006E0575" w:rsidRDefault="007130AB" w:rsidP="00250965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</w:r>
            <w:r w:rsidR="00250965">
              <w:rPr>
                <w:sz w:val="16"/>
                <w:szCs w:val="16"/>
              </w:rPr>
              <w:t>Ermächt</w:t>
            </w:r>
            <w:r w:rsidR="00250965">
              <w:rPr>
                <w:sz w:val="16"/>
                <w:szCs w:val="16"/>
              </w:rPr>
              <w:t>i</w:t>
            </w:r>
            <w:r w:rsidR="00250965">
              <w:rPr>
                <w:sz w:val="16"/>
                <w:szCs w:val="16"/>
              </w:rPr>
              <w:t>gungen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7130AB" w:rsidRPr="006E0575" w:rsidRDefault="007130AB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7130AB" w:rsidRPr="006E0575" w:rsidRDefault="007130AB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proofErr w:type="spellStart"/>
            <w:r w:rsidRPr="006E0575">
              <w:rPr>
                <w:sz w:val="16"/>
                <w:szCs w:val="16"/>
              </w:rPr>
              <w:t>jährl</w:t>
            </w:r>
            <w:proofErr w:type="spellEnd"/>
            <w:r w:rsidRPr="006E0575">
              <w:rPr>
                <w:sz w:val="16"/>
                <w:szCs w:val="16"/>
              </w:rPr>
              <w:t>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BB307D" w:rsidRPr="006E0575">
        <w:tc>
          <w:tcPr>
            <w:tcW w:w="1814" w:type="dxa"/>
          </w:tcPr>
          <w:p w:rsidR="00BB307D" w:rsidRDefault="00BB307D" w:rsidP="006E0575">
            <w:pPr>
              <w:rPr>
                <w:sz w:val="20"/>
              </w:rPr>
            </w:pPr>
          </w:p>
          <w:p w:rsidR="004652D2" w:rsidRDefault="004652D2" w:rsidP="006E0575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3D79E8">
              <w:rPr>
                <w:sz w:val="20"/>
              </w:rPr>
              <w:t>-Flü</w:t>
            </w:r>
          </w:p>
          <w:p w:rsidR="00BB307D" w:rsidRDefault="00BB307D" w:rsidP="006E0575">
            <w:pPr>
              <w:rPr>
                <w:sz w:val="20"/>
              </w:rPr>
            </w:pPr>
          </w:p>
          <w:p w:rsidR="00B133D0" w:rsidRDefault="00B133D0" w:rsidP="006E0575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250965">
              <w:rPr>
                <w:sz w:val="20"/>
              </w:rPr>
              <w:t>105160</w:t>
            </w:r>
          </w:p>
        </w:tc>
        <w:tc>
          <w:tcPr>
            <w:tcW w:w="1701" w:type="dxa"/>
          </w:tcPr>
          <w:p w:rsidR="00BB307D" w:rsidRDefault="00BB307D" w:rsidP="006E0575">
            <w:pPr>
              <w:rPr>
                <w:sz w:val="20"/>
              </w:rPr>
            </w:pPr>
          </w:p>
          <w:p w:rsidR="00BB307D" w:rsidRDefault="000D1FB7" w:rsidP="00BB307D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  <w:p w:rsidR="00BB307D" w:rsidRDefault="00BB307D" w:rsidP="006E0575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BB307D" w:rsidRDefault="00BB307D" w:rsidP="001F7237">
            <w:pPr>
              <w:jc w:val="center"/>
              <w:rPr>
                <w:sz w:val="20"/>
              </w:rPr>
            </w:pPr>
          </w:p>
          <w:p w:rsidR="00BB307D" w:rsidRDefault="002821B0" w:rsidP="00DF71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13</w:t>
            </w:r>
          </w:p>
        </w:tc>
        <w:tc>
          <w:tcPr>
            <w:tcW w:w="1928" w:type="dxa"/>
          </w:tcPr>
          <w:p w:rsidR="00BB307D" w:rsidRDefault="00BB307D" w:rsidP="006E0575">
            <w:pPr>
              <w:rPr>
                <w:sz w:val="20"/>
              </w:rPr>
            </w:pPr>
          </w:p>
          <w:p w:rsidR="00BB307D" w:rsidRDefault="00BB307D" w:rsidP="006E0575">
            <w:pPr>
              <w:rPr>
                <w:sz w:val="20"/>
              </w:rPr>
            </w:pPr>
            <w:r>
              <w:rPr>
                <w:sz w:val="20"/>
              </w:rPr>
              <w:t>Leitung</w:t>
            </w:r>
          </w:p>
        </w:tc>
        <w:tc>
          <w:tcPr>
            <w:tcW w:w="737" w:type="dxa"/>
            <w:shd w:val="pct12" w:color="auto" w:fill="FFFFFF"/>
          </w:tcPr>
          <w:p w:rsidR="00BB307D" w:rsidRDefault="00BB307D" w:rsidP="001F7237">
            <w:pPr>
              <w:jc w:val="center"/>
              <w:rPr>
                <w:sz w:val="20"/>
              </w:rPr>
            </w:pPr>
          </w:p>
          <w:p w:rsidR="00BB307D" w:rsidRDefault="00BB307D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134" w:type="dxa"/>
          </w:tcPr>
          <w:p w:rsidR="00BB307D" w:rsidRDefault="00BB307D" w:rsidP="001F723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B307D" w:rsidRDefault="00BB307D" w:rsidP="001F7237">
            <w:pPr>
              <w:jc w:val="center"/>
              <w:rPr>
                <w:sz w:val="20"/>
              </w:rPr>
            </w:pPr>
          </w:p>
          <w:p w:rsidR="003D79E8" w:rsidRDefault="00B133D0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91.100</w:t>
            </w:r>
          </w:p>
        </w:tc>
      </w:tr>
      <w:tr w:rsidR="00DF71E5" w:rsidRPr="006E0575">
        <w:tc>
          <w:tcPr>
            <w:tcW w:w="1814" w:type="dxa"/>
          </w:tcPr>
          <w:p w:rsidR="00DF71E5" w:rsidRDefault="00DF71E5" w:rsidP="006E0575">
            <w:pPr>
              <w:rPr>
                <w:sz w:val="20"/>
              </w:rPr>
            </w:pPr>
          </w:p>
          <w:p w:rsidR="00DF71E5" w:rsidRDefault="003D79E8" w:rsidP="006E0575">
            <w:pPr>
              <w:rPr>
                <w:sz w:val="20"/>
              </w:rPr>
            </w:pPr>
            <w:r>
              <w:rPr>
                <w:sz w:val="20"/>
              </w:rPr>
              <w:t>29-Flü</w:t>
            </w:r>
          </w:p>
          <w:p w:rsidR="003D79E8" w:rsidRDefault="003D79E8" w:rsidP="006E0575">
            <w:pPr>
              <w:rPr>
                <w:sz w:val="20"/>
              </w:rPr>
            </w:pPr>
          </w:p>
          <w:p w:rsidR="00DF71E5" w:rsidRDefault="00250965" w:rsidP="006E0575">
            <w:pPr>
              <w:rPr>
                <w:sz w:val="20"/>
              </w:rPr>
            </w:pPr>
            <w:r>
              <w:rPr>
                <w:sz w:val="20"/>
              </w:rPr>
              <w:t>29105160</w:t>
            </w:r>
          </w:p>
        </w:tc>
        <w:tc>
          <w:tcPr>
            <w:tcW w:w="1701" w:type="dxa"/>
          </w:tcPr>
          <w:p w:rsidR="00DF71E5" w:rsidRDefault="00DF71E5" w:rsidP="006E0575">
            <w:pPr>
              <w:rPr>
                <w:sz w:val="20"/>
              </w:rPr>
            </w:pPr>
          </w:p>
          <w:p w:rsidR="00DF71E5" w:rsidRDefault="00DF71E5" w:rsidP="006E0575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DF71E5" w:rsidRDefault="00DF71E5" w:rsidP="001F7237">
            <w:pPr>
              <w:jc w:val="center"/>
              <w:rPr>
                <w:sz w:val="20"/>
              </w:rPr>
            </w:pPr>
          </w:p>
          <w:p w:rsidR="00DF71E5" w:rsidRDefault="002821B0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11</w:t>
            </w:r>
          </w:p>
        </w:tc>
        <w:tc>
          <w:tcPr>
            <w:tcW w:w="1928" w:type="dxa"/>
          </w:tcPr>
          <w:p w:rsidR="00DF71E5" w:rsidRDefault="00DF71E5" w:rsidP="006E0575">
            <w:pPr>
              <w:rPr>
                <w:sz w:val="20"/>
              </w:rPr>
            </w:pPr>
          </w:p>
          <w:p w:rsidR="00DF71E5" w:rsidRDefault="00851564" w:rsidP="006E0575">
            <w:pPr>
              <w:rPr>
                <w:sz w:val="20"/>
              </w:rPr>
            </w:pPr>
            <w:r>
              <w:rPr>
                <w:sz w:val="20"/>
              </w:rPr>
              <w:t>Sachgebietsleitung</w:t>
            </w:r>
          </w:p>
        </w:tc>
        <w:tc>
          <w:tcPr>
            <w:tcW w:w="737" w:type="dxa"/>
            <w:shd w:val="pct12" w:color="auto" w:fill="FFFFFF"/>
          </w:tcPr>
          <w:p w:rsidR="00DF71E5" w:rsidRDefault="00DF71E5" w:rsidP="001F7237">
            <w:pPr>
              <w:jc w:val="center"/>
              <w:rPr>
                <w:sz w:val="20"/>
              </w:rPr>
            </w:pPr>
          </w:p>
          <w:p w:rsidR="00DF71E5" w:rsidRDefault="00DF71E5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1134" w:type="dxa"/>
          </w:tcPr>
          <w:p w:rsidR="00DF71E5" w:rsidRDefault="00DF71E5" w:rsidP="001F723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DF71E5" w:rsidRDefault="00DF71E5" w:rsidP="001F7237">
            <w:pPr>
              <w:jc w:val="center"/>
              <w:rPr>
                <w:sz w:val="20"/>
              </w:rPr>
            </w:pPr>
          </w:p>
          <w:p w:rsidR="00B133D0" w:rsidRDefault="00B133D0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163.800</w:t>
            </w:r>
          </w:p>
        </w:tc>
      </w:tr>
      <w:tr w:rsidR="00BB307D" w:rsidRPr="006E0575">
        <w:tc>
          <w:tcPr>
            <w:tcW w:w="1814" w:type="dxa"/>
          </w:tcPr>
          <w:p w:rsidR="003D79E8" w:rsidRDefault="003D79E8" w:rsidP="003D79E8">
            <w:pPr>
              <w:rPr>
                <w:sz w:val="20"/>
              </w:rPr>
            </w:pPr>
          </w:p>
          <w:p w:rsidR="00BB307D" w:rsidRDefault="003D79E8" w:rsidP="006E0575">
            <w:pPr>
              <w:rPr>
                <w:sz w:val="20"/>
              </w:rPr>
            </w:pPr>
            <w:r>
              <w:rPr>
                <w:sz w:val="20"/>
              </w:rPr>
              <w:t>29-Flü</w:t>
            </w:r>
          </w:p>
          <w:p w:rsidR="00BB307D" w:rsidRDefault="00BB307D" w:rsidP="006E0575">
            <w:pPr>
              <w:rPr>
                <w:sz w:val="20"/>
              </w:rPr>
            </w:pPr>
          </w:p>
          <w:p w:rsidR="00BB307D" w:rsidRDefault="00250965" w:rsidP="006E0575">
            <w:pPr>
              <w:rPr>
                <w:sz w:val="20"/>
              </w:rPr>
            </w:pPr>
            <w:r>
              <w:rPr>
                <w:sz w:val="20"/>
              </w:rPr>
              <w:t>29105160</w:t>
            </w:r>
          </w:p>
        </w:tc>
        <w:tc>
          <w:tcPr>
            <w:tcW w:w="1701" w:type="dxa"/>
          </w:tcPr>
          <w:p w:rsidR="00BB307D" w:rsidRDefault="00BB307D" w:rsidP="006E0575">
            <w:pPr>
              <w:rPr>
                <w:sz w:val="20"/>
              </w:rPr>
            </w:pPr>
          </w:p>
          <w:p w:rsidR="00BB307D" w:rsidRDefault="000D1FB7" w:rsidP="006E0575">
            <w:pPr>
              <w:rPr>
                <w:sz w:val="20"/>
              </w:rPr>
            </w:pPr>
            <w:r>
              <w:rPr>
                <w:sz w:val="20"/>
              </w:rPr>
              <w:t xml:space="preserve">29, Jobcenter </w:t>
            </w:r>
          </w:p>
        </w:tc>
        <w:tc>
          <w:tcPr>
            <w:tcW w:w="794" w:type="dxa"/>
          </w:tcPr>
          <w:p w:rsidR="00BB307D" w:rsidRDefault="00BB307D" w:rsidP="001F7237">
            <w:pPr>
              <w:jc w:val="center"/>
              <w:rPr>
                <w:sz w:val="20"/>
              </w:rPr>
            </w:pPr>
          </w:p>
          <w:p w:rsidR="00BB307D" w:rsidRDefault="00BB307D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5</w:t>
            </w:r>
          </w:p>
        </w:tc>
        <w:tc>
          <w:tcPr>
            <w:tcW w:w="1928" w:type="dxa"/>
          </w:tcPr>
          <w:p w:rsidR="00BB307D" w:rsidRDefault="00BB307D" w:rsidP="006E0575">
            <w:pPr>
              <w:rPr>
                <w:sz w:val="20"/>
              </w:rPr>
            </w:pPr>
          </w:p>
          <w:p w:rsidR="00BB307D" w:rsidRDefault="00BB307D" w:rsidP="006E0575">
            <w:pPr>
              <w:rPr>
                <w:sz w:val="20"/>
              </w:rPr>
            </w:pPr>
            <w:r>
              <w:rPr>
                <w:sz w:val="20"/>
              </w:rPr>
              <w:t>SB Qualifizierte Information</w:t>
            </w:r>
          </w:p>
        </w:tc>
        <w:tc>
          <w:tcPr>
            <w:tcW w:w="737" w:type="dxa"/>
            <w:shd w:val="pct12" w:color="auto" w:fill="FFFFFF"/>
          </w:tcPr>
          <w:p w:rsidR="00BB307D" w:rsidRDefault="00BB307D" w:rsidP="001F7237">
            <w:pPr>
              <w:jc w:val="center"/>
              <w:rPr>
                <w:sz w:val="20"/>
              </w:rPr>
            </w:pPr>
          </w:p>
          <w:p w:rsidR="00BB307D" w:rsidRDefault="00DF71E5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B307D"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BB307D" w:rsidRDefault="00BB307D" w:rsidP="001F723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B307D" w:rsidRDefault="00BB307D" w:rsidP="001F7237">
            <w:pPr>
              <w:jc w:val="center"/>
              <w:rPr>
                <w:sz w:val="20"/>
              </w:rPr>
            </w:pPr>
          </w:p>
          <w:p w:rsidR="00B133D0" w:rsidRDefault="00B133D0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165.600</w:t>
            </w:r>
          </w:p>
        </w:tc>
      </w:tr>
      <w:tr w:rsidR="007130AB" w:rsidRPr="006E0575">
        <w:tc>
          <w:tcPr>
            <w:tcW w:w="1814" w:type="dxa"/>
          </w:tcPr>
          <w:p w:rsidR="003D79E8" w:rsidRDefault="003D79E8" w:rsidP="003D79E8">
            <w:pPr>
              <w:rPr>
                <w:sz w:val="20"/>
              </w:rPr>
            </w:pPr>
          </w:p>
          <w:p w:rsidR="003D79E8" w:rsidRDefault="003D79E8" w:rsidP="003D79E8">
            <w:pPr>
              <w:rPr>
                <w:sz w:val="20"/>
              </w:rPr>
            </w:pPr>
            <w:r>
              <w:rPr>
                <w:sz w:val="20"/>
              </w:rPr>
              <w:t>29-Flü</w:t>
            </w:r>
          </w:p>
          <w:p w:rsidR="007130AB" w:rsidRDefault="007130AB" w:rsidP="006E0575">
            <w:pPr>
              <w:rPr>
                <w:sz w:val="20"/>
              </w:rPr>
            </w:pPr>
          </w:p>
          <w:p w:rsidR="007130AB" w:rsidRPr="006E0575" w:rsidRDefault="00250965" w:rsidP="00DF71E5">
            <w:pPr>
              <w:rPr>
                <w:sz w:val="20"/>
              </w:rPr>
            </w:pPr>
            <w:r>
              <w:rPr>
                <w:sz w:val="20"/>
              </w:rPr>
              <w:t>29105160</w:t>
            </w:r>
          </w:p>
        </w:tc>
        <w:tc>
          <w:tcPr>
            <w:tcW w:w="1701" w:type="dxa"/>
          </w:tcPr>
          <w:p w:rsidR="007130AB" w:rsidRDefault="007130AB" w:rsidP="006E0575">
            <w:pPr>
              <w:rPr>
                <w:sz w:val="20"/>
              </w:rPr>
            </w:pPr>
          </w:p>
          <w:p w:rsidR="007130AB" w:rsidRDefault="000D1FB7" w:rsidP="006E0575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  <w:p w:rsidR="007130AB" w:rsidRPr="006E0575" w:rsidRDefault="007130AB" w:rsidP="006E0575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7130AB" w:rsidRDefault="007130AB" w:rsidP="001F7237">
            <w:pPr>
              <w:jc w:val="center"/>
              <w:rPr>
                <w:sz w:val="20"/>
              </w:rPr>
            </w:pPr>
          </w:p>
          <w:p w:rsidR="007130AB" w:rsidRPr="006E0575" w:rsidRDefault="007130AB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10</w:t>
            </w:r>
          </w:p>
        </w:tc>
        <w:tc>
          <w:tcPr>
            <w:tcW w:w="1928" w:type="dxa"/>
          </w:tcPr>
          <w:p w:rsidR="007130AB" w:rsidRDefault="007130AB" w:rsidP="006E0575">
            <w:pPr>
              <w:rPr>
                <w:sz w:val="20"/>
              </w:rPr>
            </w:pPr>
          </w:p>
          <w:p w:rsidR="007130AB" w:rsidRDefault="007130AB" w:rsidP="006E0575">
            <w:pPr>
              <w:rPr>
                <w:sz w:val="20"/>
              </w:rPr>
            </w:pPr>
            <w:r>
              <w:rPr>
                <w:sz w:val="20"/>
              </w:rPr>
              <w:t xml:space="preserve">Persönlicher </w:t>
            </w:r>
          </w:p>
          <w:p w:rsidR="007130AB" w:rsidRPr="006E0575" w:rsidRDefault="007130AB" w:rsidP="00BB307D">
            <w:pPr>
              <w:rPr>
                <w:sz w:val="20"/>
              </w:rPr>
            </w:pPr>
            <w:r>
              <w:rPr>
                <w:sz w:val="20"/>
              </w:rPr>
              <w:t>Ansprechpartner/in</w:t>
            </w:r>
          </w:p>
        </w:tc>
        <w:tc>
          <w:tcPr>
            <w:tcW w:w="737" w:type="dxa"/>
            <w:shd w:val="pct12" w:color="auto" w:fill="FFFFFF"/>
          </w:tcPr>
          <w:p w:rsidR="007130AB" w:rsidRDefault="007130AB" w:rsidP="001F7237">
            <w:pPr>
              <w:jc w:val="center"/>
              <w:rPr>
                <w:sz w:val="20"/>
              </w:rPr>
            </w:pPr>
          </w:p>
          <w:p w:rsidR="007130AB" w:rsidRPr="006E0575" w:rsidRDefault="004652D2" w:rsidP="00BB30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w="1134" w:type="dxa"/>
          </w:tcPr>
          <w:p w:rsidR="007130AB" w:rsidRDefault="007130AB" w:rsidP="001F7237">
            <w:pPr>
              <w:jc w:val="center"/>
              <w:rPr>
                <w:sz w:val="20"/>
              </w:rPr>
            </w:pPr>
          </w:p>
          <w:p w:rsidR="007130AB" w:rsidRPr="006E0575" w:rsidRDefault="007130AB" w:rsidP="001F723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7130AB" w:rsidRDefault="007130AB" w:rsidP="001F7237">
            <w:pPr>
              <w:jc w:val="center"/>
              <w:rPr>
                <w:sz w:val="20"/>
              </w:rPr>
            </w:pPr>
          </w:p>
          <w:p w:rsidR="00B133D0" w:rsidRPr="006E0575" w:rsidRDefault="00B133D0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2.449.755</w:t>
            </w:r>
          </w:p>
        </w:tc>
      </w:tr>
      <w:tr w:rsidR="007130AB" w:rsidRPr="006E0575">
        <w:tc>
          <w:tcPr>
            <w:tcW w:w="1814" w:type="dxa"/>
          </w:tcPr>
          <w:p w:rsidR="003D79E8" w:rsidRDefault="003D79E8" w:rsidP="003D79E8">
            <w:pPr>
              <w:rPr>
                <w:sz w:val="20"/>
              </w:rPr>
            </w:pPr>
          </w:p>
          <w:p w:rsidR="003D79E8" w:rsidRDefault="003D79E8" w:rsidP="003D79E8">
            <w:pPr>
              <w:rPr>
                <w:sz w:val="20"/>
              </w:rPr>
            </w:pPr>
            <w:r>
              <w:rPr>
                <w:sz w:val="20"/>
              </w:rPr>
              <w:t>29-Flü</w:t>
            </w:r>
          </w:p>
          <w:p w:rsidR="007130AB" w:rsidRDefault="007130AB" w:rsidP="006E0575">
            <w:pPr>
              <w:rPr>
                <w:sz w:val="20"/>
              </w:rPr>
            </w:pPr>
          </w:p>
          <w:p w:rsidR="007130AB" w:rsidRDefault="00250965" w:rsidP="00810CCE">
            <w:pPr>
              <w:rPr>
                <w:sz w:val="20"/>
              </w:rPr>
            </w:pPr>
            <w:r>
              <w:rPr>
                <w:sz w:val="20"/>
              </w:rPr>
              <w:t>29105160</w:t>
            </w:r>
          </w:p>
        </w:tc>
        <w:tc>
          <w:tcPr>
            <w:tcW w:w="1701" w:type="dxa"/>
          </w:tcPr>
          <w:p w:rsidR="007130AB" w:rsidRDefault="007130AB" w:rsidP="00257E60">
            <w:pPr>
              <w:rPr>
                <w:sz w:val="20"/>
              </w:rPr>
            </w:pPr>
          </w:p>
          <w:p w:rsidR="007130AB" w:rsidRPr="006E0575" w:rsidRDefault="000D1FB7" w:rsidP="00257E60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  <w:r w:rsidRPr="006E0575">
              <w:rPr>
                <w:sz w:val="20"/>
              </w:rPr>
              <w:t xml:space="preserve"> </w:t>
            </w:r>
          </w:p>
        </w:tc>
        <w:tc>
          <w:tcPr>
            <w:tcW w:w="794" w:type="dxa"/>
          </w:tcPr>
          <w:p w:rsidR="007130AB" w:rsidRDefault="007130AB" w:rsidP="001F7237">
            <w:pPr>
              <w:jc w:val="center"/>
              <w:rPr>
                <w:sz w:val="20"/>
              </w:rPr>
            </w:pPr>
          </w:p>
          <w:p w:rsidR="007130AB" w:rsidRDefault="007130AB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9</w:t>
            </w:r>
          </w:p>
        </w:tc>
        <w:tc>
          <w:tcPr>
            <w:tcW w:w="1928" w:type="dxa"/>
          </w:tcPr>
          <w:p w:rsidR="007130AB" w:rsidRDefault="007130AB" w:rsidP="006E0575">
            <w:pPr>
              <w:rPr>
                <w:sz w:val="20"/>
              </w:rPr>
            </w:pPr>
          </w:p>
          <w:p w:rsidR="007130AB" w:rsidRDefault="007130AB" w:rsidP="00BB307D">
            <w:pPr>
              <w:rPr>
                <w:sz w:val="20"/>
              </w:rPr>
            </w:pPr>
            <w:r>
              <w:rPr>
                <w:sz w:val="20"/>
              </w:rPr>
              <w:t xml:space="preserve">SB </w:t>
            </w:r>
            <w:r w:rsidR="00BB307D">
              <w:rPr>
                <w:sz w:val="20"/>
              </w:rPr>
              <w:t>Leistungs</w:t>
            </w:r>
            <w:r>
              <w:rPr>
                <w:sz w:val="20"/>
              </w:rPr>
              <w:t>g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währung</w:t>
            </w:r>
          </w:p>
        </w:tc>
        <w:tc>
          <w:tcPr>
            <w:tcW w:w="737" w:type="dxa"/>
            <w:shd w:val="pct12" w:color="auto" w:fill="FFFFFF"/>
          </w:tcPr>
          <w:p w:rsidR="007130AB" w:rsidRDefault="007130AB" w:rsidP="001F7237">
            <w:pPr>
              <w:jc w:val="center"/>
              <w:rPr>
                <w:sz w:val="20"/>
              </w:rPr>
            </w:pPr>
          </w:p>
          <w:p w:rsidR="004652D2" w:rsidRDefault="004652D2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26,74</w:t>
            </w:r>
          </w:p>
          <w:p w:rsidR="007130AB" w:rsidRDefault="007130AB" w:rsidP="001F72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130AB" w:rsidRDefault="007130AB" w:rsidP="001F7237">
            <w:pPr>
              <w:jc w:val="center"/>
              <w:rPr>
                <w:sz w:val="20"/>
              </w:rPr>
            </w:pPr>
          </w:p>
          <w:p w:rsidR="007130AB" w:rsidRDefault="007130AB" w:rsidP="001F723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7130AB" w:rsidRDefault="007130AB" w:rsidP="001F7237">
            <w:pPr>
              <w:jc w:val="center"/>
              <w:rPr>
                <w:sz w:val="20"/>
              </w:rPr>
            </w:pPr>
          </w:p>
          <w:p w:rsidR="00B133D0" w:rsidRDefault="00B133D0" w:rsidP="00B133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1.893.192</w:t>
            </w:r>
          </w:p>
          <w:p w:rsidR="007130AB" w:rsidRDefault="007130AB" w:rsidP="001F7237">
            <w:pPr>
              <w:jc w:val="center"/>
              <w:rPr>
                <w:sz w:val="20"/>
              </w:rPr>
            </w:pPr>
          </w:p>
        </w:tc>
      </w:tr>
    </w:tbl>
    <w:p w:rsidR="00467EAD" w:rsidRDefault="00467EAD" w:rsidP="009655DB"/>
    <w:p w:rsidR="001371AB" w:rsidRDefault="001371AB" w:rsidP="009655DB"/>
    <w:p w:rsidR="009655DB" w:rsidRPr="001371AB" w:rsidRDefault="004652D2" w:rsidP="009655DB">
      <w:r>
        <w:t>Die Verwaltung wird ermächtigt</w:t>
      </w:r>
      <w:r w:rsidR="002821B0">
        <w:t>, außerhalb des Stellenplan</w:t>
      </w:r>
      <w:r w:rsidR="008C6F4D">
        <w:t>s</w:t>
      </w:r>
      <w:r w:rsidR="002821B0">
        <w:t xml:space="preserve"> </w:t>
      </w:r>
      <w:r w:rsidR="001E2EC0">
        <w:t>ab</w:t>
      </w:r>
      <w:r w:rsidR="002821B0">
        <w:t xml:space="preserve"> 2016</w:t>
      </w:r>
      <w:r>
        <w:t xml:space="preserve">, Personal </w:t>
      </w:r>
      <w:r w:rsidR="002821B0">
        <w:t>im Au</w:t>
      </w:r>
      <w:r w:rsidR="002821B0">
        <w:t>f</w:t>
      </w:r>
      <w:r w:rsidR="002821B0">
        <w:t>gabenbereich Flüchtlinge</w:t>
      </w:r>
      <w:r>
        <w:t xml:space="preserve">  im Um</w:t>
      </w:r>
      <w:r w:rsidR="009655DB">
        <w:t>fang von maximal</w:t>
      </w:r>
      <w:r>
        <w:t xml:space="preserve"> 6607 % Personalkapazitäten zu b</w:t>
      </w:r>
      <w:r>
        <w:t>e</w:t>
      </w:r>
      <w:r>
        <w:t xml:space="preserve">schäftigen. Die Einstellung der neuen </w:t>
      </w:r>
      <w:r w:rsidR="009655DB">
        <w:t>Mitarbeitenden</w:t>
      </w:r>
      <w:r>
        <w:t xml:space="preserve"> darf unbefristet er</w:t>
      </w:r>
      <w:r w:rsidR="00E73606">
        <w:t xml:space="preserve">folgen: </w:t>
      </w:r>
      <w:r w:rsidR="009655DB">
        <w:t xml:space="preserve">100% für die Leitung der </w:t>
      </w:r>
      <w:r w:rsidR="00321CCA">
        <w:t>Fachstelle für Flüchtlinge</w:t>
      </w:r>
      <w:r w:rsidR="009655DB">
        <w:t xml:space="preserve"> in </w:t>
      </w:r>
      <w:r w:rsidR="00144BD8">
        <w:t>EG</w:t>
      </w:r>
      <w:r w:rsidR="009655DB">
        <w:t xml:space="preserve"> 13, 200</w:t>
      </w:r>
      <w:r w:rsidR="00AB22EC">
        <w:t xml:space="preserve"> </w:t>
      </w:r>
      <w:r w:rsidR="009655DB">
        <w:t xml:space="preserve">% </w:t>
      </w:r>
      <w:r w:rsidR="00851564" w:rsidRPr="00512955">
        <w:t>Sachgebietsleitung</w:t>
      </w:r>
      <w:r w:rsidR="009655DB">
        <w:t xml:space="preserve"> in </w:t>
      </w:r>
      <w:r w:rsidR="00144BD8">
        <w:t>EG 11</w:t>
      </w:r>
      <w:r w:rsidR="009655DB">
        <w:t>, 300</w:t>
      </w:r>
      <w:r w:rsidR="00AB22EC">
        <w:t xml:space="preserve"> </w:t>
      </w:r>
      <w:r w:rsidR="009655DB">
        <w:t>% für die Sachbearbeitung in der Qualifizierten Information, 3333</w:t>
      </w:r>
      <w:r w:rsidR="00AB22EC">
        <w:t xml:space="preserve"> </w:t>
      </w:r>
      <w:r w:rsidR="009655DB">
        <w:t xml:space="preserve">% </w:t>
      </w:r>
      <w:r w:rsidR="009655DB" w:rsidRPr="001371AB">
        <w:t>Persönliche Ansprechpartner/-innen in EG 10 und 2674</w:t>
      </w:r>
      <w:r w:rsidR="00AB22EC">
        <w:t xml:space="preserve"> </w:t>
      </w:r>
      <w:r w:rsidR="009655DB" w:rsidRPr="001371AB">
        <w:t>% Sachbearbeitung in der Leistungsgewä</w:t>
      </w:r>
      <w:r w:rsidR="009655DB" w:rsidRPr="001371AB">
        <w:t>h</w:t>
      </w:r>
      <w:r w:rsidR="009655DB" w:rsidRPr="001371AB">
        <w:t>rung in</w:t>
      </w:r>
      <w:r w:rsidR="00321CCA">
        <w:t xml:space="preserve"> </w:t>
      </w:r>
      <w:r w:rsidR="009655DB" w:rsidRPr="001371AB">
        <w:t>EG 9.</w:t>
      </w:r>
    </w:p>
    <w:p w:rsidR="00457F81" w:rsidRDefault="00457F81" w:rsidP="00884D6C">
      <w:pPr>
        <w:rPr>
          <w:highlight w:val="yellow"/>
        </w:rPr>
      </w:pPr>
    </w:p>
    <w:p w:rsidR="00467EAD" w:rsidRDefault="00467EAD" w:rsidP="00884D6C">
      <w:pPr>
        <w:rPr>
          <w:highlight w:val="yellow"/>
        </w:rPr>
      </w:pPr>
    </w:p>
    <w:p w:rsidR="002821B0" w:rsidRPr="002821B0" w:rsidRDefault="002821B0" w:rsidP="00884D6C">
      <w:pPr>
        <w:rPr>
          <w:b/>
          <w:highlight w:val="yellow"/>
        </w:rPr>
      </w:pPr>
      <w:r w:rsidRPr="002821B0">
        <w:rPr>
          <w:b/>
        </w:rPr>
        <w:t>Begründung</w:t>
      </w:r>
      <w:r w:rsidRPr="002821B0">
        <w:rPr>
          <w:b/>
          <w:highlight w:val="yellow"/>
        </w:rPr>
        <w:t xml:space="preserve"> </w:t>
      </w:r>
    </w:p>
    <w:p w:rsidR="002821B0" w:rsidRPr="00DA45E8" w:rsidRDefault="002821B0" w:rsidP="00884D6C">
      <w:pPr>
        <w:rPr>
          <w:highlight w:val="yellow"/>
        </w:rPr>
      </w:pPr>
    </w:p>
    <w:p w:rsidR="002821B0" w:rsidRDefault="002821B0" w:rsidP="002821B0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Aufgrund der Entwicklung der Flüchtlingszahlen in der Landeshauptstadt Stuttgart kommt es zu einem Anst</w:t>
      </w:r>
      <w:r w:rsidR="007B5C48">
        <w:rPr>
          <w:rFonts w:cs="Arial"/>
          <w:color w:val="000000"/>
          <w:szCs w:val="24"/>
        </w:rPr>
        <w:t xml:space="preserve">ieg </w:t>
      </w:r>
      <w:r>
        <w:rPr>
          <w:rFonts w:cs="Arial"/>
          <w:color w:val="000000"/>
          <w:szCs w:val="24"/>
        </w:rPr>
        <w:t xml:space="preserve">der Kundenzahlen im Laufe des Jahres 2016. </w:t>
      </w:r>
    </w:p>
    <w:p w:rsidR="002821B0" w:rsidRDefault="002821B0" w:rsidP="00884D6C"/>
    <w:p w:rsidR="007130AB" w:rsidRDefault="008C6F4D" w:rsidP="00884D6C">
      <w:r>
        <w:t>Im Jahresdurchschnitt wird in 2016</w:t>
      </w:r>
      <w:r w:rsidR="009655DB" w:rsidRPr="002821B0">
        <w:t xml:space="preserve"> der Zugang von </w:t>
      </w:r>
      <w:r>
        <w:t>4.</w:t>
      </w:r>
      <w:r w:rsidR="007B5C48">
        <w:t xml:space="preserve">003 </w:t>
      </w:r>
      <w:r w:rsidR="009655DB" w:rsidRPr="002821B0">
        <w:t xml:space="preserve">Flüchtlingen in den SGB II Leistungsbezug erwartet. </w:t>
      </w:r>
      <w:r w:rsidR="00457F81" w:rsidRPr="002821B0">
        <w:t xml:space="preserve">Die </w:t>
      </w:r>
      <w:r w:rsidR="009655DB" w:rsidRPr="002821B0">
        <w:t>Verwendung</w:t>
      </w:r>
      <w:r w:rsidR="00DA45E8" w:rsidRPr="002821B0">
        <w:t xml:space="preserve"> </w:t>
      </w:r>
      <w:r w:rsidR="009655DB" w:rsidRPr="002821B0">
        <w:t>der</w:t>
      </w:r>
      <w:r w:rsidR="00DA45E8" w:rsidRPr="002821B0">
        <w:t xml:space="preserve"> Ermächtigungen für die </w:t>
      </w:r>
      <w:r w:rsidR="00457F81" w:rsidRPr="002821B0">
        <w:t xml:space="preserve">Einstellung von </w:t>
      </w:r>
      <w:r w:rsidR="009655DB" w:rsidRPr="002821B0">
        <w:t>zusätzlichem</w:t>
      </w:r>
      <w:r w:rsidR="00457F81" w:rsidRPr="002821B0">
        <w:t xml:space="preserve"> Personal </w:t>
      </w:r>
      <w:r w:rsidR="009655DB" w:rsidRPr="002821B0">
        <w:t>wird</w:t>
      </w:r>
      <w:r w:rsidR="00457F81" w:rsidRPr="002821B0">
        <w:t xml:space="preserve"> entsprechend der </w:t>
      </w:r>
      <w:r w:rsidR="001371AB" w:rsidRPr="002821B0">
        <w:t xml:space="preserve">tatsächlichen </w:t>
      </w:r>
      <w:r w:rsidR="00457F81" w:rsidRPr="002821B0">
        <w:t>Entwicklung der Flüch</w:t>
      </w:r>
      <w:r w:rsidR="00457F81" w:rsidRPr="002821B0">
        <w:t>t</w:t>
      </w:r>
      <w:r w:rsidR="00457F81" w:rsidRPr="002821B0">
        <w:t xml:space="preserve">lingszahlen und der vorgegebenen Betreuungsschlüssel </w:t>
      </w:r>
      <w:r w:rsidR="00DA45E8" w:rsidRPr="002821B0">
        <w:t xml:space="preserve">bedarfsgerecht </w:t>
      </w:r>
      <w:r w:rsidR="009655DB" w:rsidRPr="002821B0">
        <w:t>erfolgen</w:t>
      </w:r>
      <w:r w:rsidR="00457F81" w:rsidRPr="002821B0">
        <w:t>.</w:t>
      </w:r>
    </w:p>
    <w:p w:rsidR="002821B0" w:rsidRDefault="001371AB" w:rsidP="00467EAD">
      <w:r w:rsidRPr="00467EAD">
        <w:rPr>
          <w:rFonts w:cs="Arial"/>
          <w:color w:val="000000"/>
          <w:szCs w:val="24"/>
        </w:rPr>
        <w:lastRenderedPageBreak/>
        <w:t xml:space="preserve">Die Leitung der </w:t>
      </w:r>
      <w:r w:rsidR="008533D2">
        <w:rPr>
          <w:rFonts w:cs="Arial"/>
          <w:color w:val="000000"/>
          <w:szCs w:val="24"/>
        </w:rPr>
        <w:t>Fachstelle für Flüchtlinge</w:t>
      </w:r>
      <w:r w:rsidRPr="00467EAD">
        <w:rPr>
          <w:rFonts w:cs="Arial"/>
          <w:color w:val="000000"/>
          <w:szCs w:val="24"/>
        </w:rPr>
        <w:t xml:space="preserve"> wird </w:t>
      </w:r>
      <w:r w:rsidR="00467EAD">
        <w:rPr>
          <w:rFonts w:cs="Arial"/>
          <w:color w:val="000000"/>
          <w:szCs w:val="24"/>
        </w:rPr>
        <w:t>im Umfang von</w:t>
      </w:r>
      <w:r w:rsidRPr="00467EAD">
        <w:rPr>
          <w:rFonts w:cs="Arial"/>
          <w:color w:val="000000"/>
          <w:szCs w:val="24"/>
        </w:rPr>
        <w:t xml:space="preserve"> </w:t>
      </w:r>
      <w:r w:rsidR="006739A9" w:rsidRPr="00467EAD">
        <w:rPr>
          <w:rFonts w:cs="Arial"/>
          <w:color w:val="000000"/>
          <w:szCs w:val="24"/>
        </w:rPr>
        <w:t>20</w:t>
      </w:r>
      <w:r w:rsidR="00AB22EC">
        <w:rPr>
          <w:rFonts w:cs="Arial"/>
          <w:color w:val="000000"/>
          <w:szCs w:val="24"/>
        </w:rPr>
        <w:t xml:space="preserve"> </w:t>
      </w:r>
      <w:r w:rsidR="006739A9" w:rsidRPr="00467EAD">
        <w:rPr>
          <w:rFonts w:cs="Arial"/>
          <w:color w:val="000000"/>
          <w:szCs w:val="24"/>
        </w:rPr>
        <w:t>%</w:t>
      </w:r>
      <w:r w:rsidR="00144BD8">
        <w:rPr>
          <w:rFonts w:cs="Arial"/>
          <w:color w:val="000000"/>
          <w:szCs w:val="24"/>
        </w:rPr>
        <w:t xml:space="preserve"> nicht-operative</w:t>
      </w:r>
      <w:r w:rsidR="006739A9" w:rsidRPr="00467EAD">
        <w:rPr>
          <w:rFonts w:cs="Arial"/>
          <w:color w:val="000000"/>
          <w:szCs w:val="24"/>
        </w:rPr>
        <w:t xml:space="preserve"> </w:t>
      </w:r>
      <w:r w:rsidRPr="00467EAD">
        <w:rPr>
          <w:rFonts w:cs="Arial"/>
          <w:color w:val="000000"/>
          <w:szCs w:val="24"/>
        </w:rPr>
        <w:t xml:space="preserve">Aufgaben </w:t>
      </w:r>
      <w:r w:rsidR="002821B0" w:rsidRPr="00467EAD">
        <w:rPr>
          <w:rFonts w:cs="Arial"/>
          <w:color w:val="000000"/>
          <w:szCs w:val="24"/>
        </w:rPr>
        <w:t xml:space="preserve">im Bereich der </w:t>
      </w:r>
      <w:r w:rsidR="007B5C48">
        <w:rPr>
          <w:rFonts w:cs="Arial"/>
          <w:color w:val="000000"/>
          <w:szCs w:val="24"/>
        </w:rPr>
        <w:t xml:space="preserve">Koordination und Netzwerkarbeit </w:t>
      </w:r>
      <w:r w:rsidR="002821B0" w:rsidRPr="00467EAD">
        <w:rPr>
          <w:rFonts w:cs="Arial"/>
          <w:color w:val="000000"/>
          <w:szCs w:val="24"/>
        </w:rPr>
        <w:t>übernehmen.</w:t>
      </w:r>
      <w:r w:rsidR="00467EAD" w:rsidRPr="00467EAD">
        <w:t xml:space="preserve"> </w:t>
      </w:r>
      <w:r w:rsidR="00467EAD">
        <w:t xml:space="preserve">Aufgrund der Kompetenzen und direkten Erfahrungen der Leitung im operativen Geschäft erwartet das Jobcenter im Zusammenhang mit </w:t>
      </w:r>
      <w:r w:rsidR="007B5C48">
        <w:t xml:space="preserve">Erfüllung dieser Aufgaben </w:t>
      </w:r>
      <w:r w:rsidR="00467EAD">
        <w:t>eine Steigerung der Passgenauigkeit, Wirksamkeit und Wirtschaftlichkeit der für die Zielgruppe ausgericht</w:t>
      </w:r>
      <w:r w:rsidR="00467EAD">
        <w:t>e</w:t>
      </w:r>
      <w:r w:rsidR="00467EAD">
        <w:t xml:space="preserve">ten Maßnahmen und letztlich eine deutlich schnellere und nachhaltigere Vermittlung in Ausbildung und sozialversicherungspflichtige Beschäftigungsverhältnisse. </w:t>
      </w:r>
    </w:p>
    <w:p w:rsidR="00250965" w:rsidRDefault="00250965" w:rsidP="00467EAD"/>
    <w:p w:rsidR="00144BD8" w:rsidRDefault="00C033CF" w:rsidP="00467EAD">
      <w:pPr>
        <w:rPr>
          <w:rFonts w:cs="Arial"/>
          <w:color w:val="000000"/>
          <w:szCs w:val="24"/>
        </w:rPr>
      </w:pPr>
      <w:r>
        <w:t>4</w:t>
      </w:r>
      <w:r w:rsidR="00144BD8">
        <w:t xml:space="preserve">0% der Leitung der </w:t>
      </w:r>
      <w:r w:rsidR="008533D2">
        <w:rPr>
          <w:rFonts w:cs="Arial"/>
          <w:color w:val="000000"/>
          <w:szCs w:val="24"/>
        </w:rPr>
        <w:t>Fachstelle</w:t>
      </w:r>
      <w:r w:rsidR="00144BD8">
        <w:t xml:space="preserve"> und </w:t>
      </w:r>
      <w:r w:rsidR="007B5C48">
        <w:t xml:space="preserve">jeweils </w:t>
      </w:r>
      <w:r>
        <w:t>50</w:t>
      </w:r>
      <w:r w:rsidR="00AB22EC">
        <w:t xml:space="preserve"> </w:t>
      </w:r>
      <w:r>
        <w:t xml:space="preserve">% </w:t>
      </w:r>
      <w:r w:rsidR="00144BD8">
        <w:t>der Sachgebietsleitungen</w:t>
      </w:r>
      <w:r w:rsidR="007B5C48">
        <w:t xml:space="preserve"> werden in den </w:t>
      </w:r>
      <w:r w:rsidR="00144BD8">
        <w:t>nachfolgenden Betreuungsrelationen nicht berücksichtigt</w:t>
      </w:r>
      <w:r w:rsidR="007B5C48">
        <w:t>; ebenso die 20</w:t>
      </w:r>
      <w:r w:rsidR="00AB22EC">
        <w:t xml:space="preserve"> </w:t>
      </w:r>
      <w:r w:rsidR="007B5C48">
        <w:t xml:space="preserve">% nicht-operative Aufgaben der </w:t>
      </w:r>
      <w:r w:rsidR="008533D2">
        <w:t>L</w:t>
      </w:r>
      <w:r w:rsidR="007B5C48">
        <w:t>eitung</w:t>
      </w:r>
      <w:r w:rsidR="008533D2">
        <w:t xml:space="preserve"> </w:t>
      </w:r>
      <w:r w:rsidR="008533D2">
        <w:rPr>
          <w:rFonts w:cs="Arial"/>
          <w:color w:val="000000"/>
          <w:szCs w:val="24"/>
        </w:rPr>
        <w:t>Fachstelle für Flüchtlinge</w:t>
      </w:r>
      <w:r w:rsidR="007B5C48">
        <w:t>.</w:t>
      </w:r>
      <w:r w:rsidR="00144BD8">
        <w:t xml:space="preserve"> </w:t>
      </w:r>
    </w:p>
    <w:p w:rsidR="002821B0" w:rsidRDefault="00C033CF" w:rsidP="001B1E2D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Damit ergeben sich insgesamt Pers</w:t>
      </w:r>
      <w:r w:rsidR="00250965">
        <w:rPr>
          <w:rFonts w:cs="Arial"/>
          <w:color w:val="000000"/>
          <w:szCs w:val="24"/>
        </w:rPr>
        <w:t>onalkapazitäten im Umfang von 6607</w:t>
      </w:r>
      <w:r w:rsidR="00AB22EC">
        <w:rPr>
          <w:rFonts w:cs="Arial"/>
          <w:color w:val="000000"/>
          <w:szCs w:val="24"/>
        </w:rPr>
        <w:t xml:space="preserve"> </w:t>
      </w:r>
      <w:r w:rsidR="00250965">
        <w:rPr>
          <w:rFonts w:cs="Arial"/>
          <w:color w:val="000000"/>
          <w:szCs w:val="24"/>
        </w:rPr>
        <w:t>%, von denen 6447 % in d</w:t>
      </w:r>
      <w:r w:rsidR="007B5C48">
        <w:rPr>
          <w:rFonts w:cs="Arial"/>
          <w:color w:val="000000"/>
          <w:szCs w:val="24"/>
        </w:rPr>
        <w:t xml:space="preserve">en </w:t>
      </w:r>
      <w:r w:rsidR="00250965">
        <w:rPr>
          <w:rFonts w:cs="Arial"/>
          <w:color w:val="000000"/>
          <w:szCs w:val="24"/>
        </w:rPr>
        <w:t>Betreuungsrelationen und 16</w:t>
      </w:r>
      <w:r>
        <w:rPr>
          <w:rFonts w:cs="Arial"/>
          <w:color w:val="000000"/>
          <w:szCs w:val="24"/>
        </w:rPr>
        <w:t>0</w:t>
      </w:r>
      <w:r w:rsidR="00AB22E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% nicht in d</w:t>
      </w:r>
      <w:r w:rsidR="007B5C48">
        <w:rPr>
          <w:rFonts w:cs="Arial"/>
          <w:color w:val="000000"/>
          <w:szCs w:val="24"/>
        </w:rPr>
        <w:t xml:space="preserve">en </w:t>
      </w:r>
      <w:r>
        <w:rPr>
          <w:rFonts w:cs="Arial"/>
          <w:color w:val="000000"/>
          <w:szCs w:val="24"/>
        </w:rPr>
        <w:t xml:space="preserve">Betreuungsrelationen </w:t>
      </w:r>
      <w:r w:rsidR="00250965">
        <w:rPr>
          <w:rFonts w:cs="Arial"/>
          <w:color w:val="000000"/>
          <w:szCs w:val="24"/>
        </w:rPr>
        <w:t>B</w:t>
      </w:r>
      <w:r w:rsidR="00250965">
        <w:rPr>
          <w:rFonts w:cs="Arial"/>
          <w:color w:val="000000"/>
          <w:szCs w:val="24"/>
        </w:rPr>
        <w:t>e</w:t>
      </w:r>
      <w:r w:rsidR="00250965">
        <w:rPr>
          <w:rFonts w:cs="Arial"/>
          <w:color w:val="000000"/>
          <w:szCs w:val="24"/>
        </w:rPr>
        <w:t>rücksichtigung finden.</w:t>
      </w:r>
    </w:p>
    <w:p w:rsidR="00C033CF" w:rsidRDefault="00C033CF" w:rsidP="001B1E2D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C033CF" w:rsidRDefault="00C033CF" w:rsidP="001B1E2D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tbl>
      <w:tblPr>
        <w:tblW w:w="653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000"/>
        <w:gridCol w:w="1448"/>
        <w:gridCol w:w="1340"/>
        <w:gridCol w:w="880"/>
        <w:gridCol w:w="954"/>
        <w:gridCol w:w="1101"/>
      </w:tblGrid>
      <w:tr w:rsidR="001B1E2D" w:rsidRPr="0008379A" w:rsidTr="00391557">
        <w:trPr>
          <w:trHeight w:val="4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1E2D" w:rsidRPr="0008379A" w:rsidRDefault="001B1E2D" w:rsidP="00391557">
            <w:pPr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1E2D" w:rsidRPr="0008379A" w:rsidRDefault="001B1E2D" w:rsidP="00391557">
            <w:pPr>
              <w:jc w:val="center"/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1E2D" w:rsidRPr="0008379A" w:rsidRDefault="00370FF3" w:rsidP="00370FF3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31.12.2015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1E2D" w:rsidRPr="0008379A" w:rsidRDefault="001B1E2D" w:rsidP="00391557">
            <w:pPr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08379A">
              <w:rPr>
                <w:rFonts w:cs="Arial"/>
                <w:b/>
                <w:bCs/>
                <w:color w:val="000000"/>
                <w:szCs w:val="24"/>
              </w:rPr>
              <w:t>201</w:t>
            </w:r>
            <w:r w:rsidR="005E0A8E">
              <w:rPr>
                <w:rFonts w:cs="Arial"/>
                <w:b/>
                <w:bCs/>
                <w:color w:val="000000"/>
                <w:szCs w:val="24"/>
              </w:rPr>
              <w:t>6</w:t>
            </w:r>
          </w:p>
        </w:tc>
      </w:tr>
      <w:tr w:rsidR="001B1E2D" w:rsidRPr="0008379A" w:rsidTr="00391557">
        <w:trPr>
          <w:trHeight w:val="9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B1E2D" w:rsidRPr="0008379A" w:rsidRDefault="001B1E2D" w:rsidP="00391557">
            <w:pPr>
              <w:jc w:val="center"/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1E2D" w:rsidRPr="0008379A" w:rsidRDefault="001B1E2D" w:rsidP="00391557">
            <w:pPr>
              <w:jc w:val="center"/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Betreuungs-</w:t>
            </w:r>
            <w:r w:rsidRPr="0008379A">
              <w:rPr>
                <w:rFonts w:cs="Arial"/>
                <w:color w:val="000000"/>
                <w:szCs w:val="24"/>
              </w:rPr>
              <w:br/>
            </w:r>
            <w:proofErr w:type="spellStart"/>
            <w:r w:rsidRPr="0008379A">
              <w:rPr>
                <w:rFonts w:cs="Arial"/>
                <w:color w:val="000000"/>
                <w:szCs w:val="24"/>
              </w:rPr>
              <w:t>relation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1E2D" w:rsidRPr="0008379A" w:rsidRDefault="001B1E2D" w:rsidP="00391557">
            <w:pPr>
              <w:jc w:val="center"/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Stellen-</w:t>
            </w:r>
            <w:r w:rsidRPr="0008379A">
              <w:rPr>
                <w:rFonts w:cs="Arial"/>
                <w:color w:val="000000"/>
                <w:szCs w:val="24"/>
              </w:rPr>
              <w:br/>
              <w:t>Ist</w:t>
            </w:r>
            <w:r w:rsidRPr="0008379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1E2D" w:rsidRPr="0008379A" w:rsidRDefault="001B1E2D" w:rsidP="00391557">
            <w:pPr>
              <w:jc w:val="center"/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BG /</w:t>
            </w:r>
            <w:r w:rsidRPr="0008379A">
              <w:rPr>
                <w:rFonts w:cs="Arial"/>
                <w:color w:val="000000"/>
                <w:szCs w:val="24"/>
              </w:rPr>
              <w:br/>
            </w:r>
            <w:proofErr w:type="spellStart"/>
            <w:r w:rsidRPr="0008379A">
              <w:rPr>
                <w:rFonts w:cs="Arial"/>
                <w:color w:val="000000"/>
                <w:szCs w:val="24"/>
              </w:rPr>
              <w:t>eLb</w:t>
            </w:r>
            <w:proofErr w:type="spellEnd"/>
            <w:r w:rsidRPr="0008379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1E2D" w:rsidRPr="0008379A" w:rsidRDefault="001B1E2D" w:rsidP="00391557">
            <w:pPr>
              <w:jc w:val="center"/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Stellen-</w:t>
            </w:r>
            <w:r w:rsidRPr="0008379A">
              <w:rPr>
                <w:rFonts w:cs="Arial"/>
                <w:color w:val="000000"/>
                <w:szCs w:val="24"/>
              </w:rPr>
              <w:br/>
              <w:t>Soll</w:t>
            </w:r>
            <w:r w:rsidR="00CE01A3">
              <w:rPr>
                <w:rFonts w:cs="Arial"/>
                <w:color w:val="000000"/>
                <w:szCs w:val="24"/>
              </w:rPr>
              <w:t>*)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1E2D" w:rsidRPr="0008379A" w:rsidRDefault="001B1E2D" w:rsidP="00391557">
            <w:pPr>
              <w:jc w:val="center"/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Differenz</w:t>
            </w:r>
            <w:r w:rsidRPr="0008379A">
              <w:rPr>
                <w:rFonts w:cs="Arial"/>
                <w:color w:val="000000"/>
                <w:szCs w:val="24"/>
              </w:rPr>
              <w:br/>
              <w:t>Ist / Soll</w:t>
            </w:r>
            <w:r w:rsidR="00CE01A3">
              <w:rPr>
                <w:rFonts w:cs="Arial"/>
                <w:color w:val="000000"/>
                <w:szCs w:val="24"/>
              </w:rPr>
              <w:t>*)</w:t>
            </w:r>
          </w:p>
        </w:tc>
      </w:tr>
      <w:tr w:rsidR="001B1E2D" w:rsidRPr="0008379A" w:rsidTr="00391557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1B1E2D" w:rsidP="00391557">
            <w:pPr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U25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1B1E2D" w:rsidP="00391557">
            <w:pPr>
              <w:jc w:val="center"/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1:75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370FF3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37,09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F04713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3.266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467EAD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F04713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6,46</w:t>
            </w:r>
          </w:p>
        </w:tc>
      </w:tr>
      <w:tr w:rsidR="001B1E2D" w:rsidRPr="0008379A" w:rsidTr="00391557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1B1E2D" w:rsidP="00391557">
            <w:pPr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Ü25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1B1E2D" w:rsidP="00391557">
            <w:pPr>
              <w:jc w:val="center"/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1:150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370FF3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166,92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F04713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29.398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467EAD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195,99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F04713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29,07</w:t>
            </w:r>
          </w:p>
        </w:tc>
      </w:tr>
      <w:tr w:rsidR="001B1E2D" w:rsidRPr="0008379A" w:rsidTr="00391557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1B1E2D" w:rsidP="00391557">
            <w:pPr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LG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1B1E2D" w:rsidP="00391557">
            <w:pPr>
              <w:jc w:val="center"/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1:130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370FF3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166,15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F04713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25.361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2D" w:rsidRPr="0008379A" w:rsidRDefault="00467EAD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195,0</w:t>
            </w:r>
            <w:r w:rsidR="00F04713">
              <w:rPr>
                <w:rFonts w:cs="Arial"/>
                <w:color w:val="000000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FF3" w:rsidRPr="0008379A" w:rsidRDefault="00F04713" w:rsidP="00370FF3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28,94</w:t>
            </w:r>
          </w:p>
        </w:tc>
      </w:tr>
      <w:tr w:rsidR="001B1E2D" w:rsidRPr="0008379A" w:rsidTr="00391557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1E2D" w:rsidRPr="0008379A" w:rsidRDefault="001B1E2D" w:rsidP="00391557">
            <w:pPr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Saldo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1E2D" w:rsidRPr="0008379A" w:rsidRDefault="001B1E2D" w:rsidP="00391557">
            <w:pPr>
              <w:jc w:val="center"/>
              <w:rPr>
                <w:rFonts w:cs="Arial"/>
                <w:color w:val="000000"/>
                <w:szCs w:val="24"/>
              </w:rPr>
            </w:pPr>
            <w:r w:rsidRPr="0008379A">
              <w:rPr>
                <w:rFonts w:cs="Arial"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1E2D" w:rsidRPr="0008379A" w:rsidRDefault="00370FF3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370,16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1E2D" w:rsidRPr="0008379A" w:rsidRDefault="001B1E2D" w:rsidP="00391557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1E2D" w:rsidRPr="0008379A" w:rsidRDefault="00F04713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434,63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B1E2D" w:rsidRPr="0008379A" w:rsidRDefault="00F04713" w:rsidP="00391557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64,47</w:t>
            </w:r>
          </w:p>
        </w:tc>
      </w:tr>
    </w:tbl>
    <w:p w:rsidR="001B1E2D" w:rsidRDefault="001B1E2D" w:rsidP="001B1E2D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CE01A3" w:rsidRPr="00250965" w:rsidRDefault="00250965" w:rsidP="001B1E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250965">
        <w:rPr>
          <w:rFonts w:cs="Arial"/>
          <w:color w:val="000000"/>
          <w:sz w:val="18"/>
          <w:szCs w:val="18"/>
        </w:rPr>
        <w:t>*)</w:t>
      </w:r>
      <w:r w:rsidR="00CE01A3" w:rsidRPr="008533D2">
        <w:rPr>
          <w:rFonts w:cs="Arial"/>
          <w:color w:val="000000"/>
          <w:sz w:val="18"/>
          <w:szCs w:val="18"/>
        </w:rPr>
        <w:t>Ink</w:t>
      </w:r>
      <w:r w:rsidRPr="008533D2">
        <w:rPr>
          <w:rFonts w:cs="Arial"/>
          <w:color w:val="000000"/>
          <w:sz w:val="18"/>
          <w:szCs w:val="18"/>
        </w:rPr>
        <w:t>l.</w:t>
      </w:r>
      <w:r w:rsidR="00CE01A3" w:rsidRPr="008533D2">
        <w:rPr>
          <w:rFonts w:cs="Arial"/>
          <w:color w:val="000000"/>
          <w:sz w:val="18"/>
          <w:szCs w:val="18"/>
        </w:rPr>
        <w:t xml:space="preserve"> Ermächtigungen </w:t>
      </w:r>
      <w:r w:rsidRPr="008533D2">
        <w:rPr>
          <w:rFonts w:cs="Arial"/>
          <w:color w:val="000000"/>
          <w:sz w:val="18"/>
          <w:szCs w:val="18"/>
        </w:rPr>
        <w:t xml:space="preserve">für </w:t>
      </w:r>
      <w:r w:rsidR="008533D2" w:rsidRPr="008533D2">
        <w:rPr>
          <w:rFonts w:cs="Arial"/>
          <w:color w:val="000000"/>
          <w:sz w:val="18"/>
          <w:szCs w:val="18"/>
        </w:rPr>
        <w:t>Fachstelle für</w:t>
      </w:r>
      <w:r w:rsidRPr="008533D2">
        <w:rPr>
          <w:rFonts w:cs="Arial"/>
          <w:color w:val="000000"/>
          <w:sz w:val="18"/>
          <w:szCs w:val="18"/>
        </w:rPr>
        <w:t xml:space="preserve"> Flüchtlinge</w:t>
      </w:r>
    </w:p>
    <w:p w:rsidR="007130AB" w:rsidRDefault="007130AB" w:rsidP="00D27E29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sectPr w:rsidR="007130AB" w:rsidSect="008F6B27">
      <w:footerReference w:type="default" r:id="rId8"/>
      <w:pgSz w:w="11907" w:h="16840" w:code="9"/>
      <w:pgMar w:top="1418" w:right="1134" w:bottom="1418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D03" w:rsidRDefault="006C3D03">
      <w:r>
        <w:separator/>
      </w:r>
    </w:p>
  </w:endnote>
  <w:endnote w:type="continuationSeparator" w:id="0">
    <w:p w:rsidR="006C3D03" w:rsidRDefault="006C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74" w:rsidRDefault="00733195" w:rsidP="00D92120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B6074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E2EC0">
      <w:rPr>
        <w:rStyle w:val="Seitenzahl"/>
        <w:noProof/>
      </w:rPr>
      <w:t>1</w:t>
    </w:r>
    <w:r>
      <w:rPr>
        <w:rStyle w:val="Seitenzahl"/>
      </w:rPr>
      <w:fldChar w:fldCharType="end"/>
    </w:r>
  </w:p>
  <w:p w:rsidR="005B6074" w:rsidRDefault="005B6074" w:rsidP="008F6B27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D03" w:rsidRDefault="006C3D03">
      <w:r>
        <w:separator/>
      </w:r>
    </w:p>
  </w:footnote>
  <w:footnote w:type="continuationSeparator" w:id="0">
    <w:p w:rsidR="006C3D03" w:rsidRDefault="006C3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  <w:rPr>
        <w:rFonts w:cs="Times New Roman"/>
      </w:rPr>
    </w:lvl>
  </w:abstractNum>
  <w:abstractNum w:abstractNumId="2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3">
    <w:nsid w:val="32D259C9"/>
    <w:multiLevelType w:val="hybridMultilevel"/>
    <w:tmpl w:val="59381C66"/>
    <w:lvl w:ilvl="0" w:tplc="2A1CD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5">
    <w:nsid w:val="486A5B60"/>
    <w:multiLevelType w:val="multilevel"/>
    <w:tmpl w:val="874AC094"/>
    <w:lvl w:ilvl="0">
      <w:start w:val="3"/>
      <w:numFmt w:val="decimal"/>
      <w:lvlText w:val="%1"/>
      <w:lvlJc w:val="left"/>
      <w:pPr>
        <w:tabs>
          <w:tab w:val="num" w:pos="484"/>
        </w:tabs>
        <w:ind w:left="484" w:hanging="484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4"/>
        </w:tabs>
        <w:ind w:left="484" w:hanging="4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EA84A4B"/>
    <w:multiLevelType w:val="hybridMultilevel"/>
    <w:tmpl w:val="A13AC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A24EF"/>
    <w:multiLevelType w:val="hybridMultilevel"/>
    <w:tmpl w:val="594661AC"/>
    <w:lvl w:ilvl="0" w:tplc="33408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23561"/>
    <w:multiLevelType w:val="hybridMultilevel"/>
    <w:tmpl w:val="2BD6209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intFractionalCharacterWidth/>
  <w:embedSystemFonts/>
  <w:proofState w:spelling="clean" w:grammar="clean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0DEF"/>
    <w:rsid w:val="00014333"/>
    <w:rsid w:val="00021671"/>
    <w:rsid w:val="000636C0"/>
    <w:rsid w:val="00071836"/>
    <w:rsid w:val="000A1146"/>
    <w:rsid w:val="000A5581"/>
    <w:rsid w:val="000C3C70"/>
    <w:rsid w:val="000D1FB7"/>
    <w:rsid w:val="000F2210"/>
    <w:rsid w:val="001017F7"/>
    <w:rsid w:val="00104231"/>
    <w:rsid w:val="0011112B"/>
    <w:rsid w:val="001371AB"/>
    <w:rsid w:val="00141E57"/>
    <w:rsid w:val="00142EAC"/>
    <w:rsid w:val="001431F9"/>
    <w:rsid w:val="0014415D"/>
    <w:rsid w:val="00144BD8"/>
    <w:rsid w:val="001451A2"/>
    <w:rsid w:val="00163034"/>
    <w:rsid w:val="00165C0D"/>
    <w:rsid w:val="00181857"/>
    <w:rsid w:val="00194770"/>
    <w:rsid w:val="001A0176"/>
    <w:rsid w:val="001A5F9B"/>
    <w:rsid w:val="001B1E2D"/>
    <w:rsid w:val="001E2EC0"/>
    <w:rsid w:val="001F7237"/>
    <w:rsid w:val="001F7C47"/>
    <w:rsid w:val="0021408A"/>
    <w:rsid w:val="0024397A"/>
    <w:rsid w:val="00250965"/>
    <w:rsid w:val="00252915"/>
    <w:rsid w:val="00257E60"/>
    <w:rsid w:val="00277C40"/>
    <w:rsid w:val="002821B0"/>
    <w:rsid w:val="002924CB"/>
    <w:rsid w:val="00295E64"/>
    <w:rsid w:val="002A20D1"/>
    <w:rsid w:val="002B5955"/>
    <w:rsid w:val="002D3BF6"/>
    <w:rsid w:val="002D74DC"/>
    <w:rsid w:val="002E1AA9"/>
    <w:rsid w:val="002F4053"/>
    <w:rsid w:val="002F5DD9"/>
    <w:rsid w:val="0030228E"/>
    <w:rsid w:val="00321CCA"/>
    <w:rsid w:val="00332043"/>
    <w:rsid w:val="00333B0D"/>
    <w:rsid w:val="00333C40"/>
    <w:rsid w:val="00334769"/>
    <w:rsid w:val="003419E3"/>
    <w:rsid w:val="00341DD3"/>
    <w:rsid w:val="003537D9"/>
    <w:rsid w:val="00356157"/>
    <w:rsid w:val="0036046C"/>
    <w:rsid w:val="00365ACD"/>
    <w:rsid w:val="00370035"/>
    <w:rsid w:val="00370FF3"/>
    <w:rsid w:val="00380937"/>
    <w:rsid w:val="00391557"/>
    <w:rsid w:val="00394EA0"/>
    <w:rsid w:val="0039624E"/>
    <w:rsid w:val="003C5610"/>
    <w:rsid w:val="003D79E8"/>
    <w:rsid w:val="003D7B0B"/>
    <w:rsid w:val="003E039C"/>
    <w:rsid w:val="003F118A"/>
    <w:rsid w:val="0040492F"/>
    <w:rsid w:val="00414AE9"/>
    <w:rsid w:val="00457F81"/>
    <w:rsid w:val="004652D2"/>
    <w:rsid w:val="00467EAD"/>
    <w:rsid w:val="00470135"/>
    <w:rsid w:val="00474E4B"/>
    <w:rsid w:val="00477DCA"/>
    <w:rsid w:val="004908B5"/>
    <w:rsid w:val="0049121B"/>
    <w:rsid w:val="004A06C2"/>
    <w:rsid w:val="004A1688"/>
    <w:rsid w:val="004B6796"/>
    <w:rsid w:val="004C269D"/>
    <w:rsid w:val="004E0FCC"/>
    <w:rsid w:val="004F3AD7"/>
    <w:rsid w:val="004F6483"/>
    <w:rsid w:val="00507B55"/>
    <w:rsid w:val="00511E32"/>
    <w:rsid w:val="00512955"/>
    <w:rsid w:val="00522C28"/>
    <w:rsid w:val="005237DC"/>
    <w:rsid w:val="00552289"/>
    <w:rsid w:val="00563E21"/>
    <w:rsid w:val="0057492C"/>
    <w:rsid w:val="0057738F"/>
    <w:rsid w:val="00585724"/>
    <w:rsid w:val="00585AD0"/>
    <w:rsid w:val="005868F9"/>
    <w:rsid w:val="005A56AA"/>
    <w:rsid w:val="005B6074"/>
    <w:rsid w:val="005E0A8E"/>
    <w:rsid w:val="005E19C6"/>
    <w:rsid w:val="005F5B3D"/>
    <w:rsid w:val="005F6F3F"/>
    <w:rsid w:val="00616F8E"/>
    <w:rsid w:val="00622C1B"/>
    <w:rsid w:val="0062455B"/>
    <w:rsid w:val="00624F4A"/>
    <w:rsid w:val="00647F10"/>
    <w:rsid w:val="006516C8"/>
    <w:rsid w:val="0067292B"/>
    <w:rsid w:val="006739A9"/>
    <w:rsid w:val="00680A06"/>
    <w:rsid w:val="00696B84"/>
    <w:rsid w:val="006B6D50"/>
    <w:rsid w:val="006C3D03"/>
    <w:rsid w:val="006E0575"/>
    <w:rsid w:val="006E2A6F"/>
    <w:rsid w:val="006F0AE4"/>
    <w:rsid w:val="006F3C58"/>
    <w:rsid w:val="007130AB"/>
    <w:rsid w:val="00724EFB"/>
    <w:rsid w:val="00733195"/>
    <w:rsid w:val="0073681D"/>
    <w:rsid w:val="00740021"/>
    <w:rsid w:val="00754659"/>
    <w:rsid w:val="00755583"/>
    <w:rsid w:val="007745C2"/>
    <w:rsid w:val="007A360D"/>
    <w:rsid w:val="007A5876"/>
    <w:rsid w:val="007B5C48"/>
    <w:rsid w:val="007D2C4F"/>
    <w:rsid w:val="007E3B79"/>
    <w:rsid w:val="007F25C2"/>
    <w:rsid w:val="008066EE"/>
    <w:rsid w:val="00810CCE"/>
    <w:rsid w:val="00834DEB"/>
    <w:rsid w:val="00840A0C"/>
    <w:rsid w:val="00843BF1"/>
    <w:rsid w:val="00851564"/>
    <w:rsid w:val="008533D2"/>
    <w:rsid w:val="00873189"/>
    <w:rsid w:val="00884D6C"/>
    <w:rsid w:val="008B7310"/>
    <w:rsid w:val="008C6F4D"/>
    <w:rsid w:val="008D72E7"/>
    <w:rsid w:val="008E0975"/>
    <w:rsid w:val="008E4FFB"/>
    <w:rsid w:val="008F5592"/>
    <w:rsid w:val="008F6B27"/>
    <w:rsid w:val="00926946"/>
    <w:rsid w:val="00937129"/>
    <w:rsid w:val="009433AE"/>
    <w:rsid w:val="00945F30"/>
    <w:rsid w:val="00954502"/>
    <w:rsid w:val="0096530A"/>
    <w:rsid w:val="009655DB"/>
    <w:rsid w:val="00992AE5"/>
    <w:rsid w:val="009B2379"/>
    <w:rsid w:val="009D5E6E"/>
    <w:rsid w:val="009F4FE0"/>
    <w:rsid w:val="00A27CA7"/>
    <w:rsid w:val="00A31B71"/>
    <w:rsid w:val="00A32879"/>
    <w:rsid w:val="00A3585E"/>
    <w:rsid w:val="00A45533"/>
    <w:rsid w:val="00A51156"/>
    <w:rsid w:val="00A71D0A"/>
    <w:rsid w:val="00A77F1E"/>
    <w:rsid w:val="00A84403"/>
    <w:rsid w:val="00A953BE"/>
    <w:rsid w:val="00AA03AD"/>
    <w:rsid w:val="00AA262C"/>
    <w:rsid w:val="00AA6D5E"/>
    <w:rsid w:val="00AB22EC"/>
    <w:rsid w:val="00AB6DCF"/>
    <w:rsid w:val="00AE1B51"/>
    <w:rsid w:val="00AE1F42"/>
    <w:rsid w:val="00AF1B99"/>
    <w:rsid w:val="00AF72B1"/>
    <w:rsid w:val="00B010B7"/>
    <w:rsid w:val="00B0296D"/>
    <w:rsid w:val="00B04290"/>
    <w:rsid w:val="00B0477B"/>
    <w:rsid w:val="00B07726"/>
    <w:rsid w:val="00B133D0"/>
    <w:rsid w:val="00B316C5"/>
    <w:rsid w:val="00B41549"/>
    <w:rsid w:val="00B57B00"/>
    <w:rsid w:val="00B80DEF"/>
    <w:rsid w:val="00B878C7"/>
    <w:rsid w:val="00B87DC8"/>
    <w:rsid w:val="00B90B41"/>
    <w:rsid w:val="00B942DC"/>
    <w:rsid w:val="00BB307D"/>
    <w:rsid w:val="00BB73CB"/>
    <w:rsid w:val="00BC4669"/>
    <w:rsid w:val="00BE0578"/>
    <w:rsid w:val="00BF723B"/>
    <w:rsid w:val="00BF72FB"/>
    <w:rsid w:val="00C02FCC"/>
    <w:rsid w:val="00C033CF"/>
    <w:rsid w:val="00C16EF1"/>
    <w:rsid w:val="00C33F68"/>
    <w:rsid w:val="00C448D3"/>
    <w:rsid w:val="00C512DD"/>
    <w:rsid w:val="00C55850"/>
    <w:rsid w:val="00C65A07"/>
    <w:rsid w:val="00CB281F"/>
    <w:rsid w:val="00CE01A3"/>
    <w:rsid w:val="00CE7577"/>
    <w:rsid w:val="00CF138A"/>
    <w:rsid w:val="00D277E0"/>
    <w:rsid w:val="00D27E29"/>
    <w:rsid w:val="00D33711"/>
    <w:rsid w:val="00D475D5"/>
    <w:rsid w:val="00D526A3"/>
    <w:rsid w:val="00D55679"/>
    <w:rsid w:val="00D92120"/>
    <w:rsid w:val="00D92966"/>
    <w:rsid w:val="00DA45E8"/>
    <w:rsid w:val="00DB235A"/>
    <w:rsid w:val="00DB3D6C"/>
    <w:rsid w:val="00DB7FE6"/>
    <w:rsid w:val="00DC4F66"/>
    <w:rsid w:val="00DE4960"/>
    <w:rsid w:val="00DF278E"/>
    <w:rsid w:val="00DF71E5"/>
    <w:rsid w:val="00E014B6"/>
    <w:rsid w:val="00E06597"/>
    <w:rsid w:val="00E1162F"/>
    <w:rsid w:val="00E11D5F"/>
    <w:rsid w:val="00E134F7"/>
    <w:rsid w:val="00E3685C"/>
    <w:rsid w:val="00E42E06"/>
    <w:rsid w:val="00E625FC"/>
    <w:rsid w:val="00E646C4"/>
    <w:rsid w:val="00E7118F"/>
    <w:rsid w:val="00E73606"/>
    <w:rsid w:val="00E94516"/>
    <w:rsid w:val="00E96A81"/>
    <w:rsid w:val="00EF65FF"/>
    <w:rsid w:val="00F04713"/>
    <w:rsid w:val="00F16A9E"/>
    <w:rsid w:val="00F27657"/>
    <w:rsid w:val="00F302C2"/>
    <w:rsid w:val="00F31741"/>
    <w:rsid w:val="00F331C0"/>
    <w:rsid w:val="00F342DC"/>
    <w:rsid w:val="00F63041"/>
    <w:rsid w:val="00F76452"/>
    <w:rsid w:val="00F85E82"/>
    <w:rsid w:val="00F87BA5"/>
    <w:rsid w:val="00F937FA"/>
    <w:rsid w:val="00FE15EB"/>
    <w:rsid w:val="00FE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0575"/>
    <w:pPr>
      <w:spacing w:after="0" w:line="240" w:lineRule="auto"/>
    </w:pPr>
    <w:rPr>
      <w:rFonts w:ascii="Arial" w:hAnsi="Arial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41DD3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341DD3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371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371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37129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37129"/>
    <w:rPr>
      <w:rFonts w:ascii="Calibri" w:hAnsi="Calibri" w:cs="Times New Roman"/>
      <w:b/>
      <w:bCs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rsid w:val="00341DD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41DD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937129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341DD3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37129"/>
    <w:rPr>
      <w:rFonts w:ascii="Arial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341DD3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37129"/>
    <w:rPr>
      <w:rFonts w:ascii="Arial" w:hAnsi="Arial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A6D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37129"/>
    <w:rPr>
      <w:rFonts w:cs="Times New Roman"/>
      <w:sz w:val="2"/>
    </w:rPr>
  </w:style>
  <w:style w:type="character" w:styleId="Seitenzahl">
    <w:name w:val="page number"/>
    <w:basedOn w:val="Absatz-Standardschriftart"/>
    <w:uiPriority w:val="99"/>
    <w:rsid w:val="00165C0D"/>
    <w:rPr>
      <w:rFonts w:ascii="Arial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DC820-0CBA-47C8-9F89-FB370649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keywords/>
  <dc:description/>
  <cp:lastModifiedBy>u00f113</cp:lastModifiedBy>
  <cp:revision>3</cp:revision>
  <cp:lastPrinted>2015-11-17T10:37:00Z</cp:lastPrinted>
  <dcterms:created xsi:type="dcterms:W3CDTF">2015-11-18T09:02:00Z</dcterms:created>
  <dcterms:modified xsi:type="dcterms:W3CDTF">2015-11-23T11:56:00Z</dcterms:modified>
</cp:coreProperties>
</file>