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7DE" w:rsidRDefault="002C4841" w:rsidP="002C4841">
      <w:pPr>
        <w:pStyle w:val="berschrift-Stadtrecht3"/>
        <w:jc w:val="left"/>
        <w:rPr>
          <w:color w:val="000000"/>
        </w:rPr>
      </w:pPr>
      <w:r w:rsidRPr="002C4841">
        <w:rPr>
          <w:rFonts w:cs="Arial"/>
        </w:rPr>
        <w:t>Anlage 2</w:t>
      </w:r>
      <w:r>
        <w:rPr>
          <w:rFonts w:cs="Arial"/>
          <w:b w:val="0"/>
        </w:rPr>
        <w:t xml:space="preserve"> zur Beschlussvorlage:</w:t>
      </w:r>
      <w:r w:rsidR="00D917DE">
        <w:rPr>
          <w:rFonts w:cs="Arial"/>
          <w:b w:val="0"/>
        </w:rPr>
        <w:t xml:space="preserve"> Änderungssatzung</w:t>
      </w:r>
    </w:p>
    <w:p w:rsidR="00D917DE" w:rsidRDefault="00D917DE" w:rsidP="00D917DE">
      <w:pPr>
        <w:pStyle w:val="berschrift-Stadtrecht3"/>
        <w:jc w:val="right"/>
        <w:rPr>
          <w:color w:val="000000"/>
        </w:rPr>
      </w:pPr>
    </w:p>
    <w:p w:rsidR="00D917DE" w:rsidRDefault="00D917DE" w:rsidP="00D917DE">
      <w:pPr>
        <w:overflowPunct/>
        <w:autoSpaceDE/>
        <w:adjustRightInd/>
        <w:rPr>
          <w:rFonts w:ascii="Arial" w:hAnsi="Arial"/>
          <w:b/>
          <w:sz w:val="24"/>
          <w:szCs w:val="24"/>
        </w:rPr>
      </w:pPr>
    </w:p>
    <w:p w:rsidR="00D917DE" w:rsidRDefault="00D917DE" w:rsidP="00D917DE">
      <w:pPr>
        <w:overflowPunct/>
        <w:autoSpaceDE/>
        <w:adjustRightInd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Satzung zur Änderung der Satzung über die Erhebung von Gebühren für ö</w:t>
      </w:r>
      <w:r>
        <w:rPr>
          <w:rFonts w:ascii="Arial" w:hAnsi="Arial"/>
          <w:b/>
          <w:sz w:val="24"/>
          <w:szCs w:val="24"/>
        </w:rPr>
        <w:t>f</w:t>
      </w:r>
      <w:r>
        <w:rPr>
          <w:rFonts w:ascii="Arial" w:hAnsi="Arial"/>
          <w:b/>
          <w:sz w:val="24"/>
          <w:szCs w:val="24"/>
        </w:rPr>
        <w:t xml:space="preserve">fentliche Leistungen (Verwaltungsgebührensatzung) vom 27. September 2012 </w:t>
      </w:r>
    </w:p>
    <w:p w:rsidR="00D917DE" w:rsidRDefault="00D917DE" w:rsidP="00D917DE">
      <w:pPr>
        <w:overflowPunct/>
        <w:autoSpaceDE/>
        <w:adjustRightInd/>
        <w:rPr>
          <w:rFonts w:ascii="Arial" w:hAnsi="Arial"/>
          <w:b/>
          <w:sz w:val="24"/>
          <w:szCs w:val="24"/>
        </w:rPr>
      </w:pPr>
    </w:p>
    <w:p w:rsidR="00D917DE" w:rsidRDefault="00D917DE" w:rsidP="00D917DE">
      <w:pPr>
        <w:overflowPunct/>
        <w:autoSpaceDE/>
        <w:adjustRightInd/>
        <w:rPr>
          <w:rFonts w:ascii="Arial" w:hAnsi="Arial"/>
          <w:b/>
          <w:sz w:val="24"/>
          <w:szCs w:val="24"/>
        </w:rPr>
      </w:pPr>
    </w:p>
    <w:p w:rsidR="00D917DE" w:rsidRDefault="00D917DE" w:rsidP="00D917DE">
      <w:pPr>
        <w:overflowPunct/>
        <w:autoSpaceDE/>
        <w:adjustRightInd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Der Gemeinderat der Landeshauptstadt Stuttgart hat </w:t>
      </w:r>
      <w:proofErr w:type="gramStart"/>
      <w:r>
        <w:rPr>
          <w:rFonts w:ascii="Arial" w:hAnsi="Arial"/>
          <w:sz w:val="24"/>
          <w:szCs w:val="24"/>
        </w:rPr>
        <w:t>am … auf Grund von</w:t>
      </w:r>
      <w:r w:rsidR="000E3A12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§ 4 der Gemeindeordnung Baden-Württemberg und § 11 des Kommunalabgabengesetzes folgende</w:t>
      </w:r>
      <w:proofErr w:type="gramEnd"/>
      <w:r>
        <w:rPr>
          <w:rFonts w:ascii="Arial" w:hAnsi="Arial"/>
          <w:sz w:val="24"/>
          <w:szCs w:val="24"/>
        </w:rPr>
        <w:t xml:space="preserve"> Satzung zur Änderung der Verwaltungsgebührensatzung (Stadtrecht 0/4) beschlossen:</w:t>
      </w:r>
    </w:p>
    <w:p w:rsidR="00D917DE" w:rsidRDefault="00D917DE" w:rsidP="00D917DE">
      <w:pPr>
        <w:overflowPunct/>
        <w:autoSpaceDE/>
        <w:adjustRightInd/>
        <w:rPr>
          <w:rFonts w:ascii="Arial" w:hAnsi="Arial"/>
          <w:sz w:val="24"/>
          <w:szCs w:val="24"/>
        </w:rPr>
      </w:pPr>
    </w:p>
    <w:p w:rsidR="00D917DE" w:rsidRDefault="00D917DE" w:rsidP="00D917DE">
      <w:pPr>
        <w:overflowPunct/>
        <w:autoSpaceDE/>
        <w:adjustRightInd/>
        <w:rPr>
          <w:rFonts w:ascii="Arial" w:hAnsi="Arial"/>
          <w:sz w:val="24"/>
          <w:szCs w:val="24"/>
        </w:rPr>
      </w:pPr>
    </w:p>
    <w:p w:rsidR="00D917DE" w:rsidRDefault="00D917DE" w:rsidP="00D917DE">
      <w:pPr>
        <w:overflowPunct/>
        <w:autoSpaceDE/>
        <w:adjustRightInd/>
        <w:ind w:left="3540" w:firstLine="70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§ 1</w:t>
      </w:r>
    </w:p>
    <w:p w:rsidR="00D917DE" w:rsidRDefault="00D917DE" w:rsidP="00D917DE">
      <w:pPr>
        <w:overflowPunct/>
        <w:autoSpaceDE/>
        <w:adjustRightInd/>
        <w:rPr>
          <w:rFonts w:ascii="Arial" w:hAnsi="Arial"/>
          <w:sz w:val="24"/>
          <w:szCs w:val="24"/>
        </w:rPr>
      </w:pPr>
    </w:p>
    <w:p w:rsidR="00D917DE" w:rsidRDefault="00D917DE" w:rsidP="00D917DE">
      <w:pPr>
        <w:overflowPunct/>
        <w:autoSpaceDE/>
        <w:adjustRightInd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Die Satzung über die Erhebung von Gebühren für öffentliche Leistungen (Verwa</w:t>
      </w:r>
      <w:r>
        <w:rPr>
          <w:rFonts w:ascii="Arial" w:hAnsi="Arial"/>
          <w:sz w:val="24"/>
          <w:szCs w:val="24"/>
        </w:rPr>
        <w:t>l</w:t>
      </w:r>
      <w:r>
        <w:rPr>
          <w:rFonts w:ascii="Arial" w:hAnsi="Arial"/>
          <w:sz w:val="24"/>
          <w:szCs w:val="24"/>
        </w:rPr>
        <w:t>tungsgebührensatzung) vom 27. September 2012 (Amtsblatt Stuttgart vom 4. Okt</w:t>
      </w:r>
      <w:r>
        <w:rPr>
          <w:rFonts w:ascii="Arial" w:hAnsi="Arial"/>
          <w:sz w:val="24"/>
          <w:szCs w:val="24"/>
        </w:rPr>
        <w:t>o</w:t>
      </w:r>
      <w:r>
        <w:rPr>
          <w:rFonts w:ascii="Arial" w:hAnsi="Arial"/>
          <w:sz w:val="24"/>
          <w:szCs w:val="24"/>
        </w:rPr>
        <w:t xml:space="preserve">ber 2012), </w:t>
      </w:r>
      <w:r w:rsidRPr="00D917DE">
        <w:rPr>
          <w:rFonts w:ascii="Arial" w:hAnsi="Arial"/>
          <w:sz w:val="24"/>
          <w:szCs w:val="24"/>
        </w:rPr>
        <w:t>zuletzt geändert am 2</w:t>
      </w:r>
      <w:r w:rsidR="00446024">
        <w:rPr>
          <w:rFonts w:ascii="Arial" w:hAnsi="Arial"/>
          <w:sz w:val="24"/>
          <w:szCs w:val="24"/>
        </w:rPr>
        <w:t>0</w:t>
      </w:r>
      <w:r w:rsidRPr="00D917DE">
        <w:rPr>
          <w:rFonts w:ascii="Arial" w:hAnsi="Arial"/>
          <w:sz w:val="24"/>
          <w:szCs w:val="24"/>
        </w:rPr>
        <w:t xml:space="preserve">. Juni 2013 </w:t>
      </w:r>
      <w:r>
        <w:rPr>
          <w:rFonts w:ascii="Arial" w:hAnsi="Arial"/>
          <w:sz w:val="24"/>
          <w:szCs w:val="24"/>
        </w:rPr>
        <w:t>(Amtsblatt Stuttgart vom 27.Juni 2013) wird wie folgt geändert:</w:t>
      </w:r>
    </w:p>
    <w:p w:rsidR="00D917DE" w:rsidRDefault="00D917DE" w:rsidP="00D917DE">
      <w:pPr>
        <w:overflowPunct/>
        <w:autoSpaceDE/>
        <w:adjustRightInd/>
        <w:rPr>
          <w:rFonts w:ascii="Arial" w:hAnsi="Arial"/>
          <w:sz w:val="24"/>
          <w:szCs w:val="24"/>
        </w:rPr>
      </w:pPr>
    </w:p>
    <w:p w:rsidR="00353880" w:rsidRPr="00353880" w:rsidRDefault="00353880" w:rsidP="00353880">
      <w:pPr>
        <w:pStyle w:val="Listenabsatz"/>
        <w:overflowPunct/>
        <w:autoSpaceDE/>
        <w:adjustRightInd/>
        <w:rPr>
          <w:rFonts w:ascii="Arial" w:hAnsi="Arial"/>
          <w:sz w:val="24"/>
          <w:szCs w:val="24"/>
        </w:rPr>
      </w:pPr>
    </w:p>
    <w:p w:rsidR="00D917DE" w:rsidRPr="00446024" w:rsidRDefault="00D917DE" w:rsidP="00446024">
      <w:pPr>
        <w:overflowPunct/>
        <w:autoSpaceDE/>
        <w:adjustRightInd/>
        <w:rPr>
          <w:rFonts w:ascii="Arial" w:hAnsi="Arial"/>
          <w:sz w:val="24"/>
          <w:szCs w:val="24"/>
        </w:rPr>
      </w:pPr>
      <w:r w:rsidRPr="00446024">
        <w:rPr>
          <w:rFonts w:ascii="Arial" w:hAnsi="Arial"/>
          <w:sz w:val="24"/>
          <w:szCs w:val="24"/>
        </w:rPr>
        <w:t>Das Gebührenverzeichnis (Anlage 1 der Satzung) wird entsprechend der Anlage neu gefasst.</w:t>
      </w:r>
    </w:p>
    <w:p w:rsidR="00353880" w:rsidRDefault="00353880" w:rsidP="00D917DE">
      <w:pPr>
        <w:overflowPunct/>
        <w:autoSpaceDE/>
        <w:adjustRightInd/>
        <w:rPr>
          <w:rFonts w:ascii="Arial" w:hAnsi="Arial"/>
          <w:sz w:val="24"/>
          <w:szCs w:val="24"/>
        </w:rPr>
      </w:pPr>
    </w:p>
    <w:p w:rsidR="00E46586" w:rsidRDefault="00E46586" w:rsidP="00D917DE">
      <w:pPr>
        <w:overflowPunct/>
        <w:autoSpaceDE/>
        <w:adjustRightInd/>
        <w:rPr>
          <w:rFonts w:ascii="Arial" w:hAnsi="Arial"/>
          <w:sz w:val="24"/>
          <w:szCs w:val="24"/>
        </w:rPr>
      </w:pPr>
    </w:p>
    <w:p w:rsidR="00E46586" w:rsidRDefault="00E46586" w:rsidP="00D917DE">
      <w:pPr>
        <w:overflowPunct/>
        <w:autoSpaceDE/>
        <w:adjustRightInd/>
        <w:rPr>
          <w:rFonts w:ascii="Arial" w:hAnsi="Arial"/>
          <w:sz w:val="24"/>
          <w:szCs w:val="24"/>
        </w:rPr>
      </w:pPr>
    </w:p>
    <w:p w:rsidR="00D917DE" w:rsidRDefault="00E46586" w:rsidP="00D917DE">
      <w:pPr>
        <w:overflowPunct/>
        <w:autoSpaceDE/>
        <w:adjustRightInd/>
        <w:ind w:left="3540" w:firstLine="70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§ 2</w:t>
      </w:r>
    </w:p>
    <w:p w:rsidR="00D917DE" w:rsidRDefault="00D917DE" w:rsidP="00D917DE">
      <w:pPr>
        <w:overflowPunct/>
        <w:autoSpaceDE/>
        <w:adjustRightInd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Inkrafttreten </w:t>
      </w:r>
    </w:p>
    <w:p w:rsidR="00D917DE" w:rsidRDefault="00D917DE" w:rsidP="00D917DE">
      <w:pPr>
        <w:overflowPunct/>
        <w:autoSpaceDE/>
        <w:adjustRightInd/>
        <w:rPr>
          <w:rFonts w:ascii="Arial" w:hAnsi="Arial"/>
          <w:sz w:val="24"/>
          <w:szCs w:val="24"/>
        </w:rPr>
      </w:pPr>
    </w:p>
    <w:p w:rsidR="00D917DE" w:rsidRDefault="00D917DE" w:rsidP="00D917DE">
      <w:pPr>
        <w:overflowPunct/>
        <w:autoSpaceDE/>
        <w:adjustRightInd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Diese Satzung tritt am 1. Januar 2012 rückwirkend in Kraft.</w:t>
      </w:r>
    </w:p>
    <w:p w:rsidR="00244F97" w:rsidRPr="00E46586" w:rsidRDefault="00244F97" w:rsidP="00E46586">
      <w:pPr>
        <w:overflowPunct/>
        <w:autoSpaceDE/>
        <w:adjustRightInd/>
        <w:rPr>
          <w:rFonts w:ascii="Arial" w:hAnsi="Arial"/>
          <w:sz w:val="24"/>
          <w:szCs w:val="24"/>
        </w:rPr>
      </w:pPr>
    </w:p>
    <w:p w:rsidR="00A0102A" w:rsidRPr="00E46586" w:rsidRDefault="00A0102A" w:rsidP="00E46586">
      <w:pPr>
        <w:overflowPunct/>
        <w:autoSpaceDE/>
        <w:adjustRightInd/>
        <w:rPr>
          <w:rFonts w:ascii="Arial" w:hAnsi="Arial"/>
          <w:sz w:val="24"/>
          <w:szCs w:val="24"/>
        </w:rPr>
      </w:pPr>
    </w:p>
    <w:p w:rsidR="00E46586" w:rsidRPr="00E46586" w:rsidRDefault="00E46586" w:rsidP="00E46586">
      <w:pPr>
        <w:overflowPunct/>
        <w:autoSpaceDE/>
        <w:adjustRightInd/>
        <w:rPr>
          <w:rFonts w:ascii="Arial" w:hAnsi="Arial"/>
          <w:sz w:val="24"/>
          <w:szCs w:val="24"/>
        </w:rPr>
      </w:pPr>
    </w:p>
    <w:p w:rsidR="00A0102A" w:rsidRPr="00E46586" w:rsidRDefault="00A0102A" w:rsidP="00E46586">
      <w:pPr>
        <w:overflowPunct/>
        <w:autoSpaceDE/>
        <w:adjustRightInd/>
        <w:rPr>
          <w:rFonts w:ascii="Arial" w:hAnsi="Arial"/>
          <w:sz w:val="24"/>
          <w:szCs w:val="24"/>
        </w:rPr>
      </w:pPr>
    </w:p>
    <w:p w:rsidR="00A0102A" w:rsidRPr="00E46586" w:rsidRDefault="00A0102A" w:rsidP="00E46586">
      <w:pPr>
        <w:overflowPunct/>
        <w:autoSpaceDE/>
        <w:adjustRightInd/>
        <w:rPr>
          <w:rFonts w:ascii="Arial" w:hAnsi="Arial"/>
          <w:sz w:val="24"/>
          <w:szCs w:val="24"/>
        </w:rPr>
      </w:pPr>
    </w:p>
    <w:p w:rsidR="00A0102A" w:rsidRPr="009747FC" w:rsidRDefault="00A0102A" w:rsidP="00E46586">
      <w:pPr>
        <w:overflowPunct/>
        <w:autoSpaceDE/>
        <w:adjustRightInd/>
        <w:rPr>
          <w:rFonts w:ascii="Arial" w:hAnsi="Arial"/>
          <w:b/>
          <w:sz w:val="24"/>
          <w:szCs w:val="24"/>
        </w:rPr>
      </w:pPr>
    </w:p>
    <w:p w:rsidR="00A0102A" w:rsidRPr="009747FC" w:rsidRDefault="00A0102A">
      <w:pPr>
        <w:rPr>
          <w:b/>
        </w:rPr>
      </w:pPr>
    </w:p>
    <w:p w:rsidR="00A0102A" w:rsidRDefault="00A0102A" w:rsidP="002C4841">
      <w:pPr>
        <w:ind w:left="-142"/>
      </w:pPr>
    </w:p>
    <w:p w:rsidR="000E3A12" w:rsidRDefault="000E3A12" w:rsidP="002C4841">
      <w:pPr>
        <w:ind w:left="-142"/>
      </w:pPr>
    </w:p>
    <w:p w:rsidR="00446024" w:rsidRDefault="00446024" w:rsidP="002C4841">
      <w:pPr>
        <w:ind w:left="-142"/>
      </w:pPr>
    </w:p>
    <w:p w:rsidR="00446024" w:rsidRDefault="00446024" w:rsidP="002C4841">
      <w:pPr>
        <w:ind w:left="-142"/>
      </w:pPr>
    </w:p>
    <w:p w:rsidR="00446024" w:rsidRDefault="00446024" w:rsidP="002C4841">
      <w:pPr>
        <w:ind w:left="-142"/>
      </w:pPr>
    </w:p>
    <w:p w:rsidR="00446024" w:rsidRDefault="00446024" w:rsidP="002C4841">
      <w:pPr>
        <w:ind w:left="-142"/>
      </w:pPr>
    </w:p>
    <w:p w:rsidR="00446024" w:rsidRDefault="00446024" w:rsidP="002C4841">
      <w:pPr>
        <w:ind w:left="-142"/>
      </w:pPr>
    </w:p>
    <w:p w:rsidR="00446024" w:rsidRDefault="00446024" w:rsidP="002C4841">
      <w:pPr>
        <w:ind w:left="-142"/>
      </w:pPr>
    </w:p>
    <w:p w:rsidR="00446024" w:rsidRDefault="00446024" w:rsidP="002C4841">
      <w:pPr>
        <w:ind w:left="-142"/>
      </w:pPr>
    </w:p>
    <w:p w:rsidR="00446024" w:rsidRDefault="00446024" w:rsidP="002C4841">
      <w:pPr>
        <w:ind w:left="-142"/>
      </w:pPr>
    </w:p>
    <w:p w:rsidR="00446024" w:rsidRDefault="00446024" w:rsidP="002C4841">
      <w:pPr>
        <w:ind w:left="-142"/>
      </w:pPr>
    </w:p>
    <w:p w:rsidR="00446024" w:rsidRDefault="00446024" w:rsidP="002C4841">
      <w:pPr>
        <w:ind w:left="-142"/>
      </w:pPr>
    </w:p>
    <w:p w:rsidR="00446024" w:rsidRDefault="00446024" w:rsidP="002C4841">
      <w:pPr>
        <w:ind w:left="-142"/>
      </w:pPr>
    </w:p>
    <w:p w:rsidR="00446024" w:rsidRDefault="00446024" w:rsidP="002C4841">
      <w:pPr>
        <w:ind w:left="-142"/>
      </w:pPr>
    </w:p>
    <w:p w:rsidR="00446024" w:rsidRDefault="00446024" w:rsidP="002C4841">
      <w:pPr>
        <w:ind w:left="-142"/>
      </w:pPr>
    </w:p>
    <w:p w:rsidR="00446024" w:rsidRDefault="00446024" w:rsidP="002C4841">
      <w:pPr>
        <w:ind w:left="-142"/>
      </w:pPr>
    </w:p>
    <w:p w:rsidR="00446024" w:rsidRDefault="00446024" w:rsidP="002C4841">
      <w:pPr>
        <w:ind w:left="-142"/>
      </w:pPr>
    </w:p>
    <w:p w:rsidR="00446024" w:rsidRDefault="00446024" w:rsidP="002C4841">
      <w:pPr>
        <w:ind w:left="-142"/>
      </w:pPr>
    </w:p>
    <w:p w:rsidR="000E3A12" w:rsidRDefault="000E3A12" w:rsidP="002C4841">
      <w:pPr>
        <w:ind w:left="-142"/>
      </w:pPr>
    </w:p>
    <w:p w:rsidR="00A0102A" w:rsidRPr="000E3A12" w:rsidRDefault="002C4841" w:rsidP="002C4841">
      <w:pPr>
        <w:ind w:left="-142"/>
        <w:rPr>
          <w:b/>
          <w:sz w:val="24"/>
        </w:rPr>
      </w:pPr>
      <w:r w:rsidRPr="000E3A12">
        <w:rPr>
          <w:b/>
          <w:sz w:val="24"/>
        </w:rPr>
        <w:lastRenderedPageBreak/>
        <w:t>Anlage</w:t>
      </w:r>
      <w:r w:rsidR="00A0102A" w:rsidRPr="000E3A12">
        <w:rPr>
          <w:b/>
          <w:sz w:val="24"/>
        </w:rPr>
        <w:t xml:space="preserve"> zur Änderungssatzung </w:t>
      </w:r>
    </w:p>
    <w:p w:rsidR="00A0102A" w:rsidRDefault="00A0102A" w:rsidP="002C4841">
      <w:pPr>
        <w:ind w:left="-142"/>
      </w:pPr>
    </w:p>
    <w:p w:rsidR="00A5385D" w:rsidRDefault="00A5385D" w:rsidP="002C4841">
      <w:pPr>
        <w:ind w:left="-142"/>
      </w:pPr>
    </w:p>
    <w:p w:rsidR="00A5385D" w:rsidRDefault="00A5385D" w:rsidP="002C4841">
      <w:pPr>
        <w:ind w:left="-142"/>
      </w:pPr>
    </w:p>
    <w:p w:rsidR="00A5385D" w:rsidRDefault="00A5385D" w:rsidP="002C4841">
      <w:pPr>
        <w:ind w:left="-142"/>
      </w:pPr>
    </w:p>
    <w:p w:rsidR="00A0102A" w:rsidRPr="002C4841" w:rsidRDefault="00A5385D" w:rsidP="002C4841">
      <w:pPr>
        <w:ind w:left="-142"/>
        <w:rPr>
          <w:rFonts w:ascii="Arial" w:hAnsi="Arial" w:cs="Arial"/>
          <w:b/>
          <w:sz w:val="24"/>
          <w:szCs w:val="24"/>
          <w:u w:val="single"/>
        </w:rPr>
      </w:pPr>
      <w:r w:rsidRPr="002C4841">
        <w:rPr>
          <w:rFonts w:ascii="Arial" w:hAnsi="Arial" w:cs="Arial"/>
          <w:b/>
          <w:sz w:val="24"/>
          <w:szCs w:val="24"/>
          <w:u w:val="single"/>
        </w:rPr>
        <w:t>Neuregelung</w:t>
      </w:r>
      <w:r w:rsidR="002C4841">
        <w:rPr>
          <w:rFonts w:ascii="Arial" w:hAnsi="Arial" w:cs="Arial"/>
          <w:b/>
          <w:sz w:val="24"/>
          <w:szCs w:val="24"/>
          <w:u w:val="single"/>
        </w:rPr>
        <w:t>: Änderung des Gebührenverzeichnisses</w:t>
      </w:r>
    </w:p>
    <w:p w:rsidR="00A0102A" w:rsidRDefault="00A0102A" w:rsidP="002C4841">
      <w:pPr>
        <w:ind w:left="-142"/>
      </w:pPr>
    </w:p>
    <w:p w:rsidR="00A0102A" w:rsidRDefault="00A0102A" w:rsidP="002C4841">
      <w:pPr>
        <w:ind w:left="-142"/>
      </w:pPr>
    </w:p>
    <w:tbl>
      <w:tblPr>
        <w:tblW w:w="9214" w:type="dxa"/>
        <w:tblInd w:w="-72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5953"/>
        <w:gridCol w:w="1701"/>
      </w:tblGrid>
      <w:tr w:rsidR="00A0102A" w:rsidRPr="003E0381" w:rsidTr="00927C1C"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0102A" w:rsidRPr="003E0381" w:rsidRDefault="00A0102A" w:rsidP="00A0102A">
            <w:pPr>
              <w:spacing w:after="240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3E0381">
              <w:rPr>
                <w:rFonts w:ascii="Arial" w:hAnsi="Arial" w:cs="Arial"/>
                <w:color w:val="000000"/>
                <w:sz w:val="25"/>
                <w:szCs w:val="25"/>
              </w:rPr>
              <w:t>Lfd. Nr.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2A" w:rsidRPr="003E0381" w:rsidRDefault="00A0102A" w:rsidP="00A0102A">
            <w:pPr>
              <w:spacing w:after="240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3E0381">
              <w:rPr>
                <w:rFonts w:ascii="Arial" w:hAnsi="Arial" w:cs="Arial"/>
                <w:color w:val="000000"/>
                <w:sz w:val="25"/>
                <w:szCs w:val="25"/>
              </w:rPr>
              <w:t>Gegenstand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0102A" w:rsidRPr="003E0381" w:rsidRDefault="00A0102A" w:rsidP="00A0102A">
            <w:pPr>
              <w:spacing w:after="240"/>
              <w:jc w:val="right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3E0381">
              <w:rPr>
                <w:rFonts w:ascii="Arial" w:hAnsi="Arial" w:cs="Arial"/>
                <w:color w:val="000000"/>
                <w:sz w:val="25"/>
                <w:szCs w:val="25"/>
              </w:rPr>
              <w:t>Gebühr in €</w:t>
            </w:r>
          </w:p>
        </w:tc>
      </w:tr>
      <w:tr w:rsidR="00A0102A" w:rsidRPr="00461318" w:rsidTr="00A0102A">
        <w:trPr>
          <w:cantSplit/>
        </w:trPr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02A" w:rsidRPr="00461318" w:rsidRDefault="00A0102A" w:rsidP="00A0102A">
            <w:pPr>
              <w:rPr>
                <w:rFonts w:ascii="Arial" w:hAnsi="Arial" w:cs="Arial"/>
                <w:color w:val="000000"/>
                <w:sz w:val="25"/>
                <w:szCs w:val="25"/>
              </w:rPr>
            </w:pPr>
          </w:p>
          <w:p w:rsidR="00A0102A" w:rsidRPr="00461318" w:rsidRDefault="00A0102A" w:rsidP="00A0102A">
            <w:pPr>
              <w:overflowPunct/>
              <w:autoSpaceDE/>
              <w:autoSpaceDN/>
              <w:adjustRightInd/>
              <w:ind w:left="498" w:hanging="498"/>
              <w:rPr>
                <w:rFonts w:ascii="Arial" w:hAnsi="Arial" w:cs="Arial"/>
                <w:b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color w:val="000000"/>
                <w:sz w:val="25"/>
                <w:szCs w:val="25"/>
              </w:rPr>
              <w:t>9.</w:t>
            </w:r>
            <w:r>
              <w:rPr>
                <w:rFonts w:ascii="Arial" w:hAnsi="Arial" w:cs="Arial"/>
                <w:b/>
                <w:color w:val="000000"/>
                <w:sz w:val="25"/>
                <w:szCs w:val="25"/>
              </w:rPr>
              <w:tab/>
            </w:r>
            <w:r w:rsidRPr="00461318">
              <w:rPr>
                <w:rFonts w:ascii="Arial" w:hAnsi="Arial" w:cs="Arial"/>
                <w:b/>
                <w:color w:val="000000"/>
                <w:sz w:val="25"/>
                <w:szCs w:val="25"/>
              </w:rPr>
              <w:t xml:space="preserve">Amt für öffentliche Ordnung: </w:t>
            </w:r>
            <w:r>
              <w:rPr>
                <w:rFonts w:ascii="Arial" w:hAnsi="Arial" w:cs="Arial"/>
                <w:b/>
                <w:color w:val="000000"/>
                <w:sz w:val="25"/>
                <w:szCs w:val="25"/>
              </w:rPr>
              <w:t>Waffen</w:t>
            </w:r>
          </w:p>
          <w:p w:rsidR="00A0102A" w:rsidRPr="00461318" w:rsidRDefault="00A0102A" w:rsidP="00A0102A">
            <w:pPr>
              <w:rPr>
                <w:rFonts w:ascii="Arial" w:hAnsi="Arial" w:cs="Arial"/>
                <w:color w:val="000000"/>
                <w:sz w:val="25"/>
                <w:szCs w:val="25"/>
              </w:rPr>
            </w:pPr>
          </w:p>
        </w:tc>
      </w:tr>
      <w:tr w:rsidR="00A0102A" w:rsidRPr="00461318" w:rsidTr="00927C1C"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02A" w:rsidRDefault="00A0102A" w:rsidP="00A0102A">
            <w:pPr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9.8.4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2A" w:rsidRDefault="00A0102A" w:rsidP="00A0102A">
            <w:pPr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Kontrollen nach § 36 Waffengesetz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02A" w:rsidRDefault="00A0102A" w:rsidP="00A0102A">
            <w:pPr>
              <w:jc w:val="right"/>
              <w:rPr>
                <w:rFonts w:ascii="Arial" w:hAnsi="Arial" w:cs="Arial"/>
                <w:color w:val="000000"/>
                <w:sz w:val="25"/>
                <w:szCs w:val="25"/>
              </w:rPr>
            </w:pPr>
          </w:p>
        </w:tc>
      </w:tr>
      <w:tr w:rsidR="00A0102A" w:rsidRPr="00461318" w:rsidTr="00927C1C"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02A" w:rsidRDefault="00A0102A" w:rsidP="00A0102A">
            <w:pPr>
              <w:rPr>
                <w:rFonts w:ascii="Arial" w:hAnsi="Arial" w:cs="Arial"/>
                <w:color w:val="000000"/>
                <w:sz w:val="25"/>
                <w:szCs w:val="25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2A" w:rsidRDefault="00353880" w:rsidP="00A0102A">
            <w:pPr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 xml:space="preserve">&gt; </w:t>
            </w:r>
            <w:r w:rsidRPr="00927C1C">
              <w:rPr>
                <w:rFonts w:ascii="Arial" w:hAnsi="Arial" w:cs="Arial"/>
                <w:color w:val="000000"/>
                <w:sz w:val="25"/>
                <w:szCs w:val="25"/>
              </w:rPr>
              <w:t>Grund</w:t>
            </w:r>
            <w:r w:rsidR="00A0102A" w:rsidRPr="00927C1C">
              <w:rPr>
                <w:rFonts w:ascii="Arial" w:hAnsi="Arial" w:cs="Arial"/>
                <w:color w:val="000000"/>
                <w:sz w:val="25"/>
                <w:szCs w:val="25"/>
              </w:rPr>
              <w:t>betrag inkl. 1 Waffe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02A" w:rsidRDefault="00244DAF" w:rsidP="00A0102A">
            <w:pPr>
              <w:jc w:val="right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126,90</w:t>
            </w:r>
          </w:p>
        </w:tc>
      </w:tr>
      <w:tr w:rsidR="00A0102A" w:rsidRPr="00461318" w:rsidTr="00927C1C"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02A" w:rsidRDefault="00A0102A" w:rsidP="00A0102A">
            <w:pPr>
              <w:rPr>
                <w:rFonts w:ascii="Arial" w:hAnsi="Arial" w:cs="Arial"/>
                <w:color w:val="000000"/>
                <w:sz w:val="25"/>
                <w:szCs w:val="25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44" w:rsidRDefault="00353880" w:rsidP="008249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&gt; Grund</w:t>
            </w:r>
            <w:r w:rsidR="00A0102A">
              <w:rPr>
                <w:rFonts w:ascii="Arial" w:hAnsi="Arial" w:cs="Arial"/>
                <w:color w:val="000000"/>
                <w:sz w:val="25"/>
                <w:szCs w:val="25"/>
              </w:rPr>
              <w:t xml:space="preserve">betrag </w:t>
            </w:r>
            <w:r w:rsidR="00A0102A" w:rsidRPr="00927C1C">
              <w:rPr>
                <w:rFonts w:ascii="Arial" w:hAnsi="Arial" w:cs="Arial"/>
                <w:color w:val="000000"/>
                <w:sz w:val="25"/>
                <w:szCs w:val="25"/>
              </w:rPr>
              <w:t xml:space="preserve">je Waffenbesitzer bei </w:t>
            </w:r>
            <w:r w:rsidR="00824944" w:rsidRPr="00927C1C">
              <w:rPr>
                <w:rFonts w:ascii="Arial" w:hAnsi="Arial" w:cs="Arial"/>
                <w:color w:val="000000"/>
                <w:sz w:val="25"/>
                <w:szCs w:val="25"/>
              </w:rPr>
              <w:t xml:space="preserve">gemeinsamer Aufbewahrung nach § 13 Abs. 10 Allg. </w:t>
            </w:r>
            <w:proofErr w:type="spellStart"/>
            <w:r w:rsidR="00824944" w:rsidRPr="00927C1C">
              <w:rPr>
                <w:rFonts w:ascii="Arial" w:hAnsi="Arial" w:cs="Arial"/>
                <w:color w:val="000000"/>
                <w:sz w:val="25"/>
                <w:szCs w:val="25"/>
              </w:rPr>
              <w:t>WaffenVO</w:t>
            </w:r>
            <w:proofErr w:type="spellEnd"/>
          </w:p>
          <w:p w:rsidR="00A0102A" w:rsidRPr="00927C1C" w:rsidRDefault="00446024" w:rsidP="00A0102A">
            <w:pPr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927C1C">
              <w:rPr>
                <w:rFonts w:ascii="Arial" w:hAnsi="Arial" w:cs="Arial"/>
                <w:color w:val="000000"/>
                <w:sz w:val="25"/>
                <w:szCs w:val="25"/>
              </w:rPr>
              <w:t>inkl. 1 Waffe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02A" w:rsidRDefault="00244DAF" w:rsidP="00A0102A">
            <w:pPr>
              <w:jc w:val="right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96,10</w:t>
            </w:r>
          </w:p>
        </w:tc>
      </w:tr>
      <w:tr w:rsidR="00A0102A" w:rsidRPr="00461318" w:rsidTr="00927C1C"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02A" w:rsidRDefault="00A0102A" w:rsidP="00A0102A">
            <w:pPr>
              <w:rPr>
                <w:rFonts w:ascii="Arial" w:hAnsi="Arial" w:cs="Arial"/>
                <w:color w:val="000000"/>
                <w:sz w:val="25"/>
                <w:szCs w:val="25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2A" w:rsidRDefault="00EC440E" w:rsidP="00A0102A">
            <w:pPr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&gt; je weitere</w:t>
            </w:r>
            <w:r w:rsidR="00A0102A">
              <w:rPr>
                <w:rFonts w:ascii="Arial" w:hAnsi="Arial" w:cs="Arial"/>
                <w:color w:val="000000"/>
                <w:sz w:val="25"/>
                <w:szCs w:val="25"/>
              </w:rPr>
              <w:t xml:space="preserve"> Waffe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02A" w:rsidRDefault="00244DAF" w:rsidP="00A0102A">
            <w:pPr>
              <w:jc w:val="right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9,30</w:t>
            </w:r>
          </w:p>
        </w:tc>
      </w:tr>
      <w:tr w:rsidR="00446024" w:rsidRPr="00461318" w:rsidTr="00927C1C"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024" w:rsidRDefault="00446024" w:rsidP="00A0102A">
            <w:pPr>
              <w:rPr>
                <w:rFonts w:ascii="Arial" w:hAnsi="Arial" w:cs="Arial"/>
                <w:color w:val="000000"/>
                <w:sz w:val="25"/>
                <w:szCs w:val="25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6024" w:rsidRDefault="00446024" w:rsidP="00446024">
            <w:pPr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Für Kontrollen, die im Zeitraum vom 01.01.2012 bis zum 30.06.2013 durchgeführt wurden, können höchstens Gebühren von 210,00 EUR festgesetzt werden.</w:t>
            </w:r>
          </w:p>
        </w:tc>
      </w:tr>
      <w:tr w:rsidR="00446024" w:rsidRPr="00461318" w:rsidTr="00927C1C"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024" w:rsidRDefault="00446024" w:rsidP="00A0102A">
            <w:pPr>
              <w:rPr>
                <w:rFonts w:ascii="Arial" w:hAnsi="Arial" w:cs="Arial"/>
                <w:color w:val="000000"/>
                <w:sz w:val="25"/>
                <w:szCs w:val="25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6024" w:rsidRDefault="00446024" w:rsidP="00446024">
            <w:pPr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Für Kontrollen vom 01.07.2013 bis zum Tag der Bekanntmachung der vorliegenden Änderungssatzung können höchstens Gebühren von 215,00 EUR festgesetzt werden.</w:t>
            </w:r>
          </w:p>
        </w:tc>
      </w:tr>
    </w:tbl>
    <w:p w:rsidR="00A0102A" w:rsidRDefault="00A0102A" w:rsidP="002C4841">
      <w:pPr>
        <w:ind w:left="-142"/>
      </w:pPr>
    </w:p>
    <w:p w:rsidR="00A0102A" w:rsidRDefault="00A0102A" w:rsidP="002C4841">
      <w:pPr>
        <w:ind w:left="-142"/>
      </w:pPr>
    </w:p>
    <w:p w:rsidR="00A0102A" w:rsidRDefault="00A0102A" w:rsidP="002C4841">
      <w:pPr>
        <w:ind w:left="-142"/>
      </w:pPr>
    </w:p>
    <w:p w:rsidR="00A5385D" w:rsidRDefault="00A5385D" w:rsidP="002C4841">
      <w:pPr>
        <w:ind w:left="-142"/>
      </w:pPr>
    </w:p>
    <w:p w:rsidR="00A5385D" w:rsidRDefault="00A5385D" w:rsidP="002C4841">
      <w:pPr>
        <w:ind w:left="-142"/>
      </w:pPr>
    </w:p>
    <w:p w:rsidR="00A0102A" w:rsidRDefault="00A0102A" w:rsidP="002C4841">
      <w:pPr>
        <w:ind w:left="-142"/>
      </w:pPr>
    </w:p>
    <w:p w:rsidR="00A0102A" w:rsidRDefault="00A0102A" w:rsidP="002C4841">
      <w:pPr>
        <w:ind w:left="-142"/>
      </w:pPr>
    </w:p>
    <w:p w:rsidR="00A0102A" w:rsidRDefault="00A0102A" w:rsidP="002C4841">
      <w:pPr>
        <w:ind w:left="-142"/>
      </w:pPr>
    </w:p>
    <w:p w:rsidR="00A0102A" w:rsidRDefault="00A0102A"/>
    <w:sectPr w:rsidR="00A0102A" w:rsidSect="00244F97">
      <w:footerReference w:type="even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57D" w:rsidRDefault="006C257D" w:rsidP="00A5385D">
      <w:r>
        <w:separator/>
      </w:r>
    </w:p>
  </w:endnote>
  <w:endnote w:type="continuationSeparator" w:id="0">
    <w:p w:rsidR="006C257D" w:rsidRDefault="006C257D" w:rsidP="00A53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024" w:rsidRDefault="00A54CEC" w:rsidP="00A0102A">
    <w:pPr>
      <w:pStyle w:val="Standard-Stadtrecht"/>
    </w:pPr>
    <w:fldSimple w:instr=" PAGE ">
      <w:r w:rsidR="00446024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57D" w:rsidRDefault="006C257D" w:rsidP="00A5385D">
      <w:r>
        <w:separator/>
      </w:r>
    </w:p>
  </w:footnote>
  <w:footnote w:type="continuationSeparator" w:id="0">
    <w:p w:rsidR="006C257D" w:rsidRDefault="006C257D" w:rsidP="00A53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E1B91"/>
    <w:multiLevelType w:val="hybridMultilevel"/>
    <w:tmpl w:val="F368638C"/>
    <w:lvl w:ilvl="0" w:tplc="EAAEA6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511E2A"/>
    <w:multiLevelType w:val="hybridMultilevel"/>
    <w:tmpl w:val="ECBA41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1230B"/>
    <w:multiLevelType w:val="hybridMultilevel"/>
    <w:tmpl w:val="9B30E6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17DE"/>
    <w:rsid w:val="0001400E"/>
    <w:rsid w:val="000E3A12"/>
    <w:rsid w:val="0011500A"/>
    <w:rsid w:val="00185579"/>
    <w:rsid w:val="00236DCA"/>
    <w:rsid w:val="00244DAF"/>
    <w:rsid w:val="00244F97"/>
    <w:rsid w:val="002C4841"/>
    <w:rsid w:val="00353880"/>
    <w:rsid w:val="00362787"/>
    <w:rsid w:val="00446024"/>
    <w:rsid w:val="004C3B71"/>
    <w:rsid w:val="00515F1B"/>
    <w:rsid w:val="005300D3"/>
    <w:rsid w:val="005A6E29"/>
    <w:rsid w:val="006C257D"/>
    <w:rsid w:val="00824944"/>
    <w:rsid w:val="008927DA"/>
    <w:rsid w:val="00927C1C"/>
    <w:rsid w:val="00962DA1"/>
    <w:rsid w:val="009747FC"/>
    <w:rsid w:val="00984228"/>
    <w:rsid w:val="00A0102A"/>
    <w:rsid w:val="00A5385D"/>
    <w:rsid w:val="00A54CEC"/>
    <w:rsid w:val="00B532A1"/>
    <w:rsid w:val="00C12055"/>
    <w:rsid w:val="00C53C05"/>
    <w:rsid w:val="00CC64BA"/>
    <w:rsid w:val="00D917DE"/>
    <w:rsid w:val="00DD6A76"/>
    <w:rsid w:val="00E46586"/>
    <w:rsid w:val="00EC2DA0"/>
    <w:rsid w:val="00EC440E"/>
    <w:rsid w:val="00F97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17DE"/>
    <w:pPr>
      <w:overflowPunct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-Stadtrecht3">
    <w:name w:val="Überschrift-Stadtrecht3"/>
    <w:basedOn w:val="Standard"/>
    <w:rsid w:val="00D917DE"/>
    <w:pPr>
      <w:overflowPunct/>
      <w:autoSpaceDE/>
      <w:autoSpaceDN/>
      <w:adjustRightInd/>
      <w:jc w:val="center"/>
    </w:pPr>
    <w:rPr>
      <w:rFonts w:ascii="Arial" w:hAnsi="Arial"/>
      <w:b/>
      <w:sz w:val="25"/>
    </w:rPr>
  </w:style>
  <w:style w:type="paragraph" w:customStyle="1" w:styleId="Standard-Stadtrecht">
    <w:name w:val="Standard-Stadtrecht"/>
    <w:basedOn w:val="Standard"/>
    <w:link w:val="Standard-StadtrechtZchn"/>
    <w:rsid w:val="00A0102A"/>
    <w:pPr>
      <w:overflowPunct/>
      <w:autoSpaceDE/>
      <w:autoSpaceDN/>
      <w:adjustRightInd/>
      <w:jc w:val="both"/>
    </w:pPr>
    <w:rPr>
      <w:rFonts w:ascii="Arial" w:hAnsi="Arial"/>
      <w:sz w:val="25"/>
    </w:rPr>
  </w:style>
  <w:style w:type="character" w:customStyle="1" w:styleId="Standard-StadtrechtZchn">
    <w:name w:val="Standard-Stadtrecht Zchn"/>
    <w:basedOn w:val="Absatz-Standardschriftart"/>
    <w:link w:val="Standard-Stadtrecht"/>
    <w:rsid w:val="00A0102A"/>
    <w:rPr>
      <w:rFonts w:ascii="Arial" w:eastAsia="Times New Roman" w:hAnsi="Arial" w:cs="Times New Roman"/>
      <w:sz w:val="25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38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385D"/>
    <w:rPr>
      <w:rFonts w:ascii="Tahoma" w:eastAsia="Times New Roman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A5385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5385D"/>
    <w:rPr>
      <w:rFonts w:ascii="Helvetica" w:eastAsia="Times New Roman" w:hAnsi="Helvetica" w:cs="Times New Roman"/>
      <w:sz w:val="18"/>
      <w:szCs w:val="20"/>
    </w:rPr>
  </w:style>
  <w:style w:type="paragraph" w:styleId="Fuzeile">
    <w:name w:val="footer"/>
    <w:basedOn w:val="Standard"/>
    <w:link w:val="FuzeileZchn"/>
    <w:uiPriority w:val="99"/>
    <w:semiHidden/>
    <w:unhideWhenUsed/>
    <w:rsid w:val="00A5385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5385D"/>
    <w:rPr>
      <w:rFonts w:ascii="Helvetica" w:eastAsia="Times New Roman" w:hAnsi="Helvetica" w:cs="Times New Roman"/>
      <w:sz w:val="18"/>
      <w:szCs w:val="20"/>
    </w:rPr>
  </w:style>
  <w:style w:type="paragraph" w:styleId="Listenabsatz">
    <w:name w:val="List Paragraph"/>
    <w:basedOn w:val="Standard"/>
    <w:uiPriority w:val="34"/>
    <w:qFormat/>
    <w:rsid w:val="003538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F2FDA-5B90-41C5-9775-2E4A4E291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Stuttgart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u32a011</dc:creator>
  <cp:keywords/>
  <dc:description/>
  <cp:lastModifiedBy>u32a013</cp:lastModifiedBy>
  <cp:revision>5</cp:revision>
  <cp:lastPrinted>2014-05-19T10:31:00Z</cp:lastPrinted>
  <dcterms:created xsi:type="dcterms:W3CDTF">2014-05-19T10:08:00Z</dcterms:created>
  <dcterms:modified xsi:type="dcterms:W3CDTF">2014-06-18T07:42:00Z</dcterms:modified>
</cp:coreProperties>
</file>