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harts/colors9.xml" ContentType="application/vnd.ms-office.chartcolorsty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charts/colors7.xml" ContentType="application/vnd.ms-office.chartcolorstyle+xml"/>
  <Override PartName="/word/charts/colors8.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style9.xml" ContentType="application/vnd.ms-office.chartstyle+xml"/>
  <Override PartName="/word/charts/style8.xml" ContentType="application/vnd.ms-office.chartstyle+xml"/>
  <Override PartName="/word/charts/colors6.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style10.xml" ContentType="application/vnd.ms-office.chartstyle+xml"/>
  <Override PartName="/word/charts/colors10.xml" ContentType="application/vnd.ms-office.chartcolorstyle+xml"/>
  <Override PartName="/word/charts/style7.xml" ContentType="application/vnd.ms-office.chartstyle+xml"/>
  <Override PartName="/word/charts/style6.xml" ContentType="application/vnd.ms-office.chart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43" w:rsidRDefault="00783143" w:rsidP="00783143">
      <w:pPr>
        <w:rPr>
          <w:rFonts w:ascii="Arial" w:hAnsi="Arial" w:cs="Arial"/>
          <w:sz w:val="28"/>
          <w:szCs w:val="28"/>
          <w:u w:val="single"/>
        </w:rPr>
      </w:pPr>
      <w:r>
        <w:rPr>
          <w:rFonts w:ascii="Arial" w:hAnsi="Arial" w:cs="Arial"/>
          <w:sz w:val="28"/>
          <w:szCs w:val="28"/>
          <w:u w:val="single"/>
        </w:rPr>
        <w:t xml:space="preserve">Anlage 1 zur </w:t>
      </w:r>
      <w:proofErr w:type="spellStart"/>
      <w:r>
        <w:rPr>
          <w:rFonts w:ascii="Arial" w:hAnsi="Arial" w:cs="Arial"/>
          <w:sz w:val="28"/>
          <w:szCs w:val="28"/>
          <w:u w:val="single"/>
        </w:rPr>
        <w:t>GRDrs</w:t>
      </w:r>
      <w:proofErr w:type="spellEnd"/>
      <w:r>
        <w:rPr>
          <w:rFonts w:ascii="Arial" w:hAnsi="Arial" w:cs="Arial"/>
          <w:sz w:val="28"/>
          <w:szCs w:val="28"/>
          <w:u w:val="single"/>
        </w:rPr>
        <w:t xml:space="preserve"> 633/2015</w:t>
      </w:r>
    </w:p>
    <w:p w:rsidR="00783143" w:rsidRPr="00783143" w:rsidRDefault="00783143" w:rsidP="00783143">
      <w:pPr>
        <w:rPr>
          <w:rFonts w:ascii="Arial" w:hAnsi="Arial" w:cs="Arial"/>
          <w:sz w:val="28"/>
          <w:szCs w:val="28"/>
          <w:u w:val="single"/>
        </w:rPr>
      </w:pPr>
    </w:p>
    <w:p w:rsidR="002F6566" w:rsidRDefault="00A317F4" w:rsidP="00C64498">
      <w:pPr>
        <w:jc w:val="center"/>
        <w:rPr>
          <w:rFonts w:ascii="Calibri" w:hAnsi="Calibri"/>
          <w:b/>
          <w:sz w:val="28"/>
          <w:szCs w:val="28"/>
        </w:rPr>
      </w:pPr>
      <w:r>
        <w:rPr>
          <w:noProof/>
        </w:rPr>
        <w:drawing>
          <wp:anchor distT="0" distB="0" distL="114300" distR="114300" simplePos="0" relativeHeight="251659264" behindDoc="0" locked="0" layoutInCell="1" allowOverlap="1">
            <wp:simplePos x="0" y="0"/>
            <wp:positionH relativeFrom="margin">
              <wp:posOffset>3181350</wp:posOffset>
            </wp:positionH>
            <wp:positionV relativeFrom="margin">
              <wp:posOffset>-323850</wp:posOffset>
            </wp:positionV>
            <wp:extent cx="2905125" cy="895350"/>
            <wp:effectExtent l="0" t="0" r="0" b="0"/>
            <wp:wrapSquare wrapText="bothSides"/>
            <wp:docPr id="2" name="Bild 2" descr="PH-Logo_m-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Logo_m-Lini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125" cy="895350"/>
                    </a:xfrm>
                    <a:prstGeom prst="rect">
                      <a:avLst/>
                    </a:prstGeom>
                    <a:noFill/>
                  </pic:spPr>
                </pic:pic>
              </a:graphicData>
            </a:graphic>
          </wp:anchor>
        </w:drawing>
      </w:r>
    </w:p>
    <w:p w:rsidR="002F6566" w:rsidRDefault="002F6566" w:rsidP="00422924">
      <w:pPr>
        <w:rPr>
          <w:rFonts w:ascii="Calibri" w:hAnsi="Calibri"/>
          <w:b/>
          <w:sz w:val="28"/>
          <w:szCs w:val="28"/>
        </w:rPr>
      </w:pPr>
    </w:p>
    <w:p w:rsidR="00B70C24" w:rsidRPr="002F6566" w:rsidRDefault="00C64498" w:rsidP="00C64498">
      <w:pPr>
        <w:jc w:val="center"/>
        <w:rPr>
          <w:rFonts w:ascii="Calibri" w:hAnsi="Calibri"/>
          <w:b/>
          <w:sz w:val="32"/>
          <w:szCs w:val="32"/>
        </w:rPr>
      </w:pPr>
      <w:r w:rsidRPr="002F6566">
        <w:rPr>
          <w:rFonts w:ascii="Calibri" w:hAnsi="Calibri"/>
          <w:b/>
          <w:sz w:val="32"/>
          <w:szCs w:val="32"/>
        </w:rPr>
        <w:t>Wissenschaftliche Begleitung „</w:t>
      </w:r>
      <w:r w:rsidR="00F70F65" w:rsidRPr="002F6566">
        <w:rPr>
          <w:rFonts w:ascii="Calibri" w:hAnsi="Calibri"/>
          <w:b/>
          <w:sz w:val="32"/>
          <w:szCs w:val="32"/>
        </w:rPr>
        <w:t>Welcome Center</w:t>
      </w:r>
      <w:r w:rsidRPr="002F6566">
        <w:rPr>
          <w:rFonts w:ascii="Calibri" w:hAnsi="Calibri"/>
          <w:b/>
          <w:sz w:val="32"/>
          <w:szCs w:val="32"/>
        </w:rPr>
        <w:t xml:space="preserve"> Stuttgart“</w:t>
      </w:r>
    </w:p>
    <w:p w:rsidR="00C64498" w:rsidRDefault="00C64498" w:rsidP="002F6566">
      <w:pPr>
        <w:rPr>
          <w:rFonts w:ascii="Calibri" w:hAnsi="Calibri"/>
          <w:sz w:val="22"/>
          <w:szCs w:val="22"/>
        </w:rPr>
      </w:pPr>
    </w:p>
    <w:p w:rsidR="00F70F65" w:rsidRPr="000B4221" w:rsidRDefault="00783143" w:rsidP="00C64498">
      <w:pPr>
        <w:jc w:val="center"/>
        <w:rPr>
          <w:rFonts w:ascii="Calibri" w:hAnsi="Calibri"/>
          <w:b/>
          <w:i/>
          <w:sz w:val="28"/>
          <w:szCs w:val="28"/>
        </w:rPr>
      </w:pPr>
      <w:r>
        <w:rPr>
          <w:rFonts w:ascii="Calibri" w:hAnsi="Calibri"/>
          <w:b/>
          <w:i/>
          <w:sz w:val="28"/>
          <w:szCs w:val="28"/>
        </w:rPr>
        <w:t>A</w:t>
      </w:r>
      <w:r w:rsidR="00A317F4">
        <w:rPr>
          <w:rFonts w:ascii="Calibri" w:hAnsi="Calibri"/>
          <w:b/>
          <w:i/>
          <w:sz w:val="28"/>
          <w:szCs w:val="28"/>
        </w:rPr>
        <w:t>uswertung: 2. Oktober 2014 bis 29. Mai 2015</w:t>
      </w:r>
    </w:p>
    <w:p w:rsidR="00F70F65" w:rsidRPr="000B4221" w:rsidRDefault="00F70F65">
      <w:pPr>
        <w:rPr>
          <w:rFonts w:ascii="Calibri" w:hAnsi="Calibri"/>
        </w:rPr>
      </w:pPr>
    </w:p>
    <w:p w:rsidR="00480FC5" w:rsidRPr="000B4221" w:rsidRDefault="00480FC5">
      <w:pPr>
        <w:rPr>
          <w:rFonts w:ascii="Calibri" w:hAnsi="Calibri"/>
        </w:rPr>
      </w:pPr>
    </w:p>
    <w:p w:rsidR="0020446D" w:rsidRPr="000B4221" w:rsidRDefault="00741032" w:rsidP="009A4167">
      <w:pPr>
        <w:jc w:val="both"/>
        <w:rPr>
          <w:rFonts w:ascii="Calibri" w:hAnsi="Calibri"/>
          <w:b/>
        </w:rPr>
      </w:pPr>
      <w:r w:rsidRPr="000B4221">
        <w:rPr>
          <w:rFonts w:ascii="Calibri" w:hAnsi="Calibri"/>
          <w:b/>
        </w:rPr>
        <w:t xml:space="preserve">Anzahl </w:t>
      </w:r>
      <w:r w:rsidR="00962F06" w:rsidRPr="000B4221">
        <w:rPr>
          <w:rFonts w:ascii="Calibri" w:hAnsi="Calibri"/>
          <w:b/>
        </w:rPr>
        <w:t>der</w:t>
      </w:r>
      <w:r w:rsidR="00744104" w:rsidRPr="000B4221">
        <w:rPr>
          <w:rFonts w:ascii="Calibri" w:hAnsi="Calibri"/>
          <w:b/>
        </w:rPr>
        <w:t xml:space="preserve"> erfassten</w:t>
      </w:r>
      <w:r w:rsidR="00CD7C70" w:rsidRPr="000B4221">
        <w:rPr>
          <w:rFonts w:ascii="Calibri" w:hAnsi="Calibri"/>
          <w:b/>
        </w:rPr>
        <w:t xml:space="preserve"> </w:t>
      </w:r>
      <w:r w:rsidRPr="000B4221">
        <w:rPr>
          <w:rFonts w:ascii="Calibri" w:hAnsi="Calibri"/>
          <w:b/>
        </w:rPr>
        <w:t>Beratungen:</w:t>
      </w:r>
    </w:p>
    <w:p w:rsidR="00F70F65" w:rsidRPr="000B4221" w:rsidRDefault="00F70F65" w:rsidP="009A4167">
      <w:pPr>
        <w:jc w:val="both"/>
        <w:rPr>
          <w:rFonts w:ascii="Calibri" w:hAnsi="Calibri"/>
          <w:sz w:val="22"/>
          <w:szCs w:val="22"/>
        </w:rPr>
      </w:pPr>
    </w:p>
    <w:p w:rsidR="0040065F" w:rsidRPr="00B70251" w:rsidRDefault="00FD176D" w:rsidP="00273CC2">
      <w:pPr>
        <w:contextualSpacing/>
        <w:jc w:val="both"/>
        <w:rPr>
          <w:rFonts w:ascii="Calibri" w:hAnsi="Calibri"/>
          <w:sz w:val="22"/>
          <w:szCs w:val="22"/>
        </w:rPr>
      </w:pPr>
      <w:r>
        <w:rPr>
          <w:rFonts w:ascii="Calibri" w:hAnsi="Calibri"/>
          <w:sz w:val="22"/>
          <w:szCs w:val="22"/>
        </w:rPr>
        <w:t xml:space="preserve">Die Entwicklung der im Durchschnitt pro Monat verzeichneten Beratungen über den gesamten Auswertungszeitraum der wissenschaftlichen Begleitung war wie folgt: </w:t>
      </w:r>
      <w:r w:rsidR="001A172C">
        <w:rPr>
          <w:rFonts w:ascii="Calibri" w:hAnsi="Calibri"/>
          <w:sz w:val="22"/>
          <w:szCs w:val="22"/>
        </w:rPr>
        <w:t xml:space="preserve">Insgesamt wurden </w:t>
      </w:r>
      <w:r w:rsidR="001A172C" w:rsidRPr="00595009">
        <w:rPr>
          <w:rFonts w:ascii="Calibri" w:hAnsi="Calibri"/>
          <w:b/>
          <w:sz w:val="22"/>
          <w:szCs w:val="22"/>
        </w:rPr>
        <w:t xml:space="preserve">zwischen dem 2. Oktober 2014 und dem 29. Mai 2015 </w:t>
      </w:r>
      <w:r w:rsidR="001A172C" w:rsidRPr="00595009">
        <w:rPr>
          <w:rFonts w:ascii="Calibri" w:hAnsi="Calibri"/>
          <w:b/>
          <w:sz w:val="22"/>
          <w:szCs w:val="22"/>
          <w:u w:val="single"/>
        </w:rPr>
        <w:t>2075 Beratungen</w:t>
      </w:r>
      <w:r w:rsidR="001A172C">
        <w:rPr>
          <w:rFonts w:ascii="Calibri" w:hAnsi="Calibri"/>
          <w:sz w:val="22"/>
          <w:szCs w:val="22"/>
        </w:rPr>
        <w:t xml:space="preserve"> von den Mitarbeiterinnen und Mitarbeitern des Welcome Centers erfasst. </w:t>
      </w:r>
      <w:r>
        <w:rPr>
          <w:rFonts w:ascii="Calibri" w:hAnsi="Calibri"/>
          <w:sz w:val="22"/>
          <w:szCs w:val="22"/>
        </w:rPr>
        <w:t xml:space="preserve">Während zwischen dem 2. Oktober 2014 und dem 23. Dezember 2014 </w:t>
      </w:r>
      <w:r w:rsidR="000C79D7">
        <w:rPr>
          <w:rFonts w:ascii="Calibri" w:hAnsi="Calibri"/>
          <w:sz w:val="22"/>
          <w:szCs w:val="22"/>
        </w:rPr>
        <w:t xml:space="preserve">im Monatsdurchschnitt 218 </w:t>
      </w:r>
      <w:r w:rsidR="009D598A">
        <w:rPr>
          <w:rFonts w:ascii="Calibri" w:hAnsi="Calibri"/>
          <w:sz w:val="22"/>
          <w:szCs w:val="22"/>
        </w:rPr>
        <w:t>Ratsuchende</w:t>
      </w:r>
      <w:r w:rsidR="000C79D7">
        <w:rPr>
          <w:rFonts w:ascii="Calibri" w:hAnsi="Calibri"/>
          <w:sz w:val="22"/>
          <w:szCs w:val="22"/>
        </w:rPr>
        <w:t xml:space="preserve"> </w:t>
      </w:r>
      <w:r>
        <w:rPr>
          <w:rFonts w:ascii="Calibri" w:hAnsi="Calibri"/>
          <w:sz w:val="22"/>
          <w:szCs w:val="22"/>
        </w:rPr>
        <w:t>das Welcome Center</w:t>
      </w:r>
      <w:r w:rsidR="000A36E6">
        <w:rPr>
          <w:rFonts w:ascii="Calibri" w:hAnsi="Calibri"/>
          <w:sz w:val="22"/>
          <w:szCs w:val="22"/>
        </w:rPr>
        <w:t xml:space="preserve"> aufsuchten, war</w:t>
      </w:r>
      <w:r>
        <w:rPr>
          <w:rFonts w:ascii="Calibri" w:hAnsi="Calibri"/>
          <w:sz w:val="22"/>
          <w:szCs w:val="22"/>
        </w:rPr>
        <w:t xml:space="preserve"> die Zahl der monatlich geleisteten Beratungen im ersten Quartal 2015 deutli</w:t>
      </w:r>
      <w:r w:rsidR="000A36E6">
        <w:rPr>
          <w:rFonts w:ascii="Calibri" w:hAnsi="Calibri"/>
          <w:sz w:val="22"/>
          <w:szCs w:val="22"/>
        </w:rPr>
        <w:t>ch angestiegen auf 322 – ein Anstieg, der</w:t>
      </w:r>
      <w:r w:rsidR="00812FC2">
        <w:rPr>
          <w:rFonts w:ascii="Calibri" w:hAnsi="Calibri"/>
          <w:sz w:val="22"/>
          <w:szCs w:val="22"/>
        </w:rPr>
        <w:t xml:space="preserve"> zumindest</w:t>
      </w:r>
      <w:r w:rsidR="000A36E6">
        <w:rPr>
          <w:rFonts w:ascii="Calibri" w:hAnsi="Calibri"/>
          <w:sz w:val="22"/>
          <w:szCs w:val="22"/>
        </w:rPr>
        <w:t xml:space="preserve"> teilweise auf die wegfallenden Feiertage im ersten Quartal 2015 zurückzuführen ist</w:t>
      </w:r>
      <w:r>
        <w:rPr>
          <w:rFonts w:ascii="Calibri" w:hAnsi="Calibri"/>
          <w:sz w:val="22"/>
          <w:szCs w:val="22"/>
        </w:rPr>
        <w:t>. I</w:t>
      </w:r>
      <w:r w:rsidR="00852F3B" w:rsidRPr="00B70251">
        <w:rPr>
          <w:rFonts w:ascii="Calibri" w:hAnsi="Calibri"/>
          <w:sz w:val="22"/>
          <w:szCs w:val="22"/>
        </w:rPr>
        <w:t xml:space="preserve">m Zeitraum </w:t>
      </w:r>
      <w:r w:rsidR="00B70251" w:rsidRPr="00B70251">
        <w:rPr>
          <w:rFonts w:ascii="Calibri" w:hAnsi="Calibri"/>
          <w:sz w:val="22"/>
          <w:szCs w:val="22"/>
        </w:rPr>
        <w:t xml:space="preserve">1. </w:t>
      </w:r>
      <w:r w:rsidR="00852F3B" w:rsidRPr="00B70251">
        <w:rPr>
          <w:rFonts w:ascii="Calibri" w:hAnsi="Calibri"/>
          <w:sz w:val="22"/>
          <w:szCs w:val="22"/>
        </w:rPr>
        <w:t xml:space="preserve">April bis </w:t>
      </w:r>
      <w:r w:rsidR="00B70251" w:rsidRPr="00B70251">
        <w:rPr>
          <w:rFonts w:ascii="Calibri" w:hAnsi="Calibri"/>
          <w:sz w:val="22"/>
          <w:szCs w:val="22"/>
        </w:rPr>
        <w:t xml:space="preserve">29. </w:t>
      </w:r>
      <w:r w:rsidR="00852F3B" w:rsidRPr="00B70251">
        <w:rPr>
          <w:rFonts w:ascii="Calibri" w:hAnsi="Calibri"/>
          <w:sz w:val="22"/>
          <w:szCs w:val="22"/>
        </w:rPr>
        <w:t>Mai 2015</w:t>
      </w:r>
      <w:r>
        <w:rPr>
          <w:rFonts w:ascii="Calibri" w:hAnsi="Calibri"/>
          <w:sz w:val="22"/>
          <w:szCs w:val="22"/>
        </w:rPr>
        <w:t xml:space="preserve"> war </w:t>
      </w:r>
      <w:r w:rsidR="001A172C">
        <w:rPr>
          <w:rFonts w:ascii="Calibri" w:hAnsi="Calibri"/>
          <w:sz w:val="22"/>
          <w:szCs w:val="22"/>
        </w:rPr>
        <w:t xml:space="preserve">hingegen </w:t>
      </w:r>
      <w:r>
        <w:rPr>
          <w:rFonts w:ascii="Calibri" w:hAnsi="Calibri"/>
          <w:sz w:val="22"/>
          <w:szCs w:val="22"/>
        </w:rPr>
        <w:t xml:space="preserve">ein Rückgang </w:t>
      </w:r>
      <w:r w:rsidR="0023751D">
        <w:rPr>
          <w:rFonts w:ascii="Calibri" w:hAnsi="Calibri"/>
          <w:sz w:val="22"/>
          <w:szCs w:val="22"/>
        </w:rPr>
        <w:t xml:space="preserve">auf </w:t>
      </w:r>
      <w:r w:rsidR="00B70251" w:rsidRPr="00B70251">
        <w:rPr>
          <w:rFonts w:ascii="Calibri" w:hAnsi="Calibri"/>
          <w:sz w:val="22"/>
          <w:szCs w:val="22"/>
        </w:rPr>
        <w:t xml:space="preserve">durchschnittlich 228 </w:t>
      </w:r>
      <w:r w:rsidR="009D598A">
        <w:rPr>
          <w:rFonts w:ascii="Calibri" w:hAnsi="Calibri"/>
          <w:sz w:val="22"/>
          <w:szCs w:val="22"/>
        </w:rPr>
        <w:t>Beratungskontakte</w:t>
      </w:r>
      <w:r w:rsidR="00B70251" w:rsidRPr="00B70251">
        <w:rPr>
          <w:rFonts w:ascii="Calibri" w:hAnsi="Calibri"/>
          <w:sz w:val="22"/>
          <w:szCs w:val="22"/>
        </w:rPr>
        <w:t xml:space="preserve"> zu verzeichnen. Dieser Rückgang war höchstwahrscheinlich bedingt durch die zahlrei</w:t>
      </w:r>
      <w:r w:rsidR="00DF19D3">
        <w:rPr>
          <w:rFonts w:ascii="Calibri" w:hAnsi="Calibri"/>
          <w:sz w:val="22"/>
          <w:szCs w:val="22"/>
        </w:rPr>
        <w:t>chen Feiertage im April und Mai, und ist daher nicht als Anzeichen für einen nachlassenden Beratungsbedarf zu sehen.</w:t>
      </w:r>
    </w:p>
    <w:p w:rsidR="00744104" w:rsidRDefault="00744104" w:rsidP="009A4167">
      <w:pPr>
        <w:jc w:val="both"/>
        <w:rPr>
          <w:rFonts w:ascii="Calibri" w:hAnsi="Calibri"/>
          <w:sz w:val="22"/>
          <w:szCs w:val="22"/>
        </w:rPr>
      </w:pPr>
    </w:p>
    <w:p w:rsidR="00A317F4" w:rsidRDefault="00A317F4" w:rsidP="00A317F4">
      <w:pPr>
        <w:jc w:val="both"/>
        <w:rPr>
          <w:rFonts w:ascii="Calibri" w:hAnsi="Calibri"/>
          <w:b/>
          <w:sz w:val="22"/>
          <w:szCs w:val="22"/>
        </w:rPr>
      </w:pPr>
      <w:r>
        <w:rPr>
          <w:rFonts w:ascii="Calibri" w:hAnsi="Calibri"/>
          <w:b/>
          <w:sz w:val="22"/>
          <w:szCs w:val="22"/>
        </w:rPr>
        <w:t xml:space="preserve">Abbildung: </w:t>
      </w:r>
      <w:r w:rsidRPr="00A317F4">
        <w:rPr>
          <w:rFonts w:ascii="Calibri" w:hAnsi="Calibri"/>
          <w:b/>
          <w:sz w:val="22"/>
          <w:szCs w:val="22"/>
        </w:rPr>
        <w:t>Kundinnen und Kunden pro Monat</w:t>
      </w:r>
      <w:r>
        <w:rPr>
          <w:rFonts w:ascii="Calibri" w:hAnsi="Calibri"/>
          <w:b/>
          <w:sz w:val="22"/>
          <w:szCs w:val="22"/>
        </w:rPr>
        <w:t>: Oktober 2014 bis Mai 2015</w:t>
      </w:r>
      <w:r w:rsidRPr="00A317F4">
        <w:rPr>
          <w:rFonts w:ascii="Calibri" w:hAnsi="Calibri"/>
          <w:b/>
          <w:sz w:val="22"/>
          <w:szCs w:val="22"/>
        </w:rPr>
        <w:t xml:space="preserve"> (N = 2075)</w:t>
      </w:r>
    </w:p>
    <w:p w:rsidR="00A317F4" w:rsidRPr="00A317F4" w:rsidRDefault="00A317F4" w:rsidP="00A317F4">
      <w:pPr>
        <w:jc w:val="both"/>
        <w:rPr>
          <w:rFonts w:ascii="Calibri" w:hAnsi="Calibri"/>
          <w:sz w:val="16"/>
          <w:szCs w:val="16"/>
        </w:rPr>
      </w:pPr>
    </w:p>
    <w:p w:rsidR="00732387" w:rsidRPr="00A317F4" w:rsidRDefault="00A317F4" w:rsidP="00A317F4">
      <w:r>
        <w:rPr>
          <w:noProof/>
        </w:rPr>
        <w:drawing>
          <wp:inline distT="0" distB="0" distL="0" distR="0">
            <wp:extent cx="4581525" cy="2752725"/>
            <wp:effectExtent l="0" t="0" r="9525" b="9525"/>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3143" w:rsidRDefault="00783143" w:rsidP="009A4167">
      <w:pPr>
        <w:jc w:val="both"/>
        <w:rPr>
          <w:rFonts w:ascii="Calibri" w:hAnsi="Calibri"/>
          <w:b/>
        </w:rPr>
      </w:pPr>
    </w:p>
    <w:p w:rsidR="00744104" w:rsidRPr="000B4221" w:rsidRDefault="00744104" w:rsidP="009A4167">
      <w:pPr>
        <w:jc w:val="both"/>
        <w:rPr>
          <w:rFonts w:ascii="Calibri" w:hAnsi="Calibri"/>
          <w:sz w:val="22"/>
          <w:szCs w:val="22"/>
        </w:rPr>
      </w:pPr>
      <w:r w:rsidRPr="000B4221">
        <w:rPr>
          <w:rFonts w:ascii="Calibri" w:hAnsi="Calibri"/>
          <w:b/>
        </w:rPr>
        <w:t>Durchführungsform der Beratungen</w:t>
      </w:r>
      <w:r w:rsidR="00F42546">
        <w:rPr>
          <w:rFonts w:ascii="Calibri" w:hAnsi="Calibri"/>
          <w:b/>
        </w:rPr>
        <w:t xml:space="preserve"> </w:t>
      </w:r>
      <w:r w:rsidR="00F42546">
        <w:rPr>
          <w:rFonts w:ascii="Calibri" w:hAnsi="Calibri"/>
          <w:i/>
        </w:rPr>
        <w:t>(siehe dazu auch Abbildung</w:t>
      </w:r>
      <w:r w:rsidR="00963CAE">
        <w:rPr>
          <w:rFonts w:ascii="Calibri" w:hAnsi="Calibri"/>
          <w:i/>
        </w:rPr>
        <w:t xml:space="preserve"> </w:t>
      </w:r>
      <w:r w:rsidR="00F42546">
        <w:rPr>
          <w:rFonts w:ascii="Calibri" w:hAnsi="Calibri"/>
          <w:i/>
        </w:rPr>
        <w:t>1 im Anhang)</w:t>
      </w:r>
      <w:r w:rsidR="00910F73">
        <w:rPr>
          <w:rFonts w:ascii="Calibri" w:hAnsi="Calibri"/>
          <w:b/>
        </w:rPr>
        <w:t>:</w:t>
      </w:r>
    </w:p>
    <w:p w:rsidR="00744104" w:rsidRPr="000B4221" w:rsidRDefault="00744104" w:rsidP="009A4167">
      <w:pPr>
        <w:jc w:val="both"/>
        <w:rPr>
          <w:rFonts w:ascii="Calibri" w:hAnsi="Calibri"/>
          <w:sz w:val="22"/>
          <w:szCs w:val="22"/>
        </w:rPr>
      </w:pPr>
    </w:p>
    <w:p w:rsidR="00715F33" w:rsidRPr="000B4221" w:rsidRDefault="00AE3105" w:rsidP="00715F33">
      <w:pPr>
        <w:pStyle w:val="Listenabsatz"/>
        <w:numPr>
          <w:ilvl w:val="0"/>
          <w:numId w:val="19"/>
        </w:numPr>
        <w:jc w:val="both"/>
        <w:rPr>
          <w:rFonts w:ascii="Calibri" w:hAnsi="Calibri"/>
          <w:sz w:val="22"/>
          <w:szCs w:val="22"/>
        </w:rPr>
      </w:pPr>
      <w:r>
        <w:rPr>
          <w:rFonts w:ascii="Calibri" w:hAnsi="Calibri"/>
          <w:sz w:val="22"/>
          <w:szCs w:val="22"/>
        </w:rPr>
        <w:t>7</w:t>
      </w:r>
      <w:r w:rsidR="00783143">
        <w:rPr>
          <w:rFonts w:ascii="Calibri" w:hAnsi="Calibri"/>
          <w:sz w:val="22"/>
          <w:szCs w:val="22"/>
        </w:rPr>
        <w:t>3</w:t>
      </w:r>
      <w:r w:rsidR="00715F33" w:rsidRPr="000B4221">
        <w:rPr>
          <w:rFonts w:ascii="Calibri" w:hAnsi="Calibri"/>
          <w:sz w:val="22"/>
          <w:szCs w:val="22"/>
        </w:rPr>
        <w:t xml:space="preserve"> Prozent der Beratungen erfolgten im Rahmen eines persönlichen Gesprächs mit den Ratsuchenden im Welcome C</w:t>
      </w:r>
      <w:r w:rsidR="002E4A16" w:rsidRPr="000B4221">
        <w:rPr>
          <w:rFonts w:ascii="Calibri" w:hAnsi="Calibri"/>
          <w:sz w:val="22"/>
          <w:szCs w:val="22"/>
        </w:rPr>
        <w:t xml:space="preserve">enter. </w:t>
      </w:r>
    </w:p>
    <w:p w:rsidR="00715F33" w:rsidRPr="000B4221" w:rsidRDefault="00AE3105" w:rsidP="00715F33">
      <w:pPr>
        <w:pStyle w:val="Listenabsatz"/>
        <w:numPr>
          <w:ilvl w:val="0"/>
          <w:numId w:val="19"/>
        </w:numPr>
        <w:jc w:val="both"/>
        <w:rPr>
          <w:rFonts w:ascii="Calibri" w:hAnsi="Calibri"/>
          <w:sz w:val="22"/>
          <w:szCs w:val="22"/>
        </w:rPr>
      </w:pPr>
      <w:r>
        <w:rPr>
          <w:rFonts w:ascii="Calibri" w:hAnsi="Calibri"/>
          <w:sz w:val="22"/>
          <w:szCs w:val="22"/>
        </w:rPr>
        <w:t>1</w:t>
      </w:r>
      <w:r w:rsidR="00783143">
        <w:rPr>
          <w:rFonts w:ascii="Calibri" w:hAnsi="Calibri"/>
          <w:sz w:val="22"/>
          <w:szCs w:val="22"/>
        </w:rPr>
        <w:t>5</w:t>
      </w:r>
      <w:r w:rsidR="00715F33" w:rsidRPr="000B4221">
        <w:rPr>
          <w:rFonts w:ascii="Calibri" w:hAnsi="Calibri"/>
          <w:sz w:val="22"/>
          <w:szCs w:val="22"/>
        </w:rPr>
        <w:t xml:space="preserve"> Prozent der Beratungen e</w:t>
      </w:r>
      <w:r w:rsidR="0040065F" w:rsidRPr="000B4221">
        <w:rPr>
          <w:rFonts w:ascii="Calibri" w:hAnsi="Calibri"/>
          <w:sz w:val="22"/>
          <w:szCs w:val="22"/>
        </w:rPr>
        <w:t>rfolgten telefonisch</w:t>
      </w:r>
      <w:r w:rsidR="00783143">
        <w:rPr>
          <w:rFonts w:ascii="Calibri" w:hAnsi="Calibri"/>
          <w:sz w:val="22"/>
          <w:szCs w:val="22"/>
        </w:rPr>
        <w:t>.</w:t>
      </w:r>
    </w:p>
    <w:p w:rsidR="0023751D" w:rsidRPr="00783143" w:rsidRDefault="00AE3105" w:rsidP="0023751D">
      <w:pPr>
        <w:pStyle w:val="Listenabsatz"/>
        <w:numPr>
          <w:ilvl w:val="0"/>
          <w:numId w:val="19"/>
        </w:numPr>
        <w:jc w:val="both"/>
        <w:rPr>
          <w:rFonts w:ascii="Calibri" w:hAnsi="Calibri"/>
          <w:sz w:val="22"/>
          <w:szCs w:val="22"/>
        </w:rPr>
      </w:pPr>
      <w:r w:rsidRPr="00783143">
        <w:rPr>
          <w:rFonts w:ascii="Calibri" w:hAnsi="Calibri"/>
          <w:sz w:val="22"/>
          <w:szCs w:val="22"/>
        </w:rPr>
        <w:t>1</w:t>
      </w:r>
      <w:r w:rsidR="00783143" w:rsidRPr="00783143">
        <w:rPr>
          <w:rFonts w:ascii="Calibri" w:hAnsi="Calibri"/>
          <w:sz w:val="22"/>
          <w:szCs w:val="22"/>
        </w:rPr>
        <w:t>1</w:t>
      </w:r>
      <w:r w:rsidR="00715F33" w:rsidRPr="00783143">
        <w:rPr>
          <w:rFonts w:ascii="Calibri" w:hAnsi="Calibri"/>
          <w:sz w:val="22"/>
          <w:szCs w:val="22"/>
        </w:rPr>
        <w:t xml:space="preserve"> Prozent der Ratsuchenden erkundigten sich in einer Email nach Informationen. </w:t>
      </w:r>
    </w:p>
    <w:p w:rsidR="00783143" w:rsidRDefault="00783143" w:rsidP="0023751D">
      <w:pPr>
        <w:jc w:val="both"/>
        <w:rPr>
          <w:rFonts w:ascii="Calibri" w:hAnsi="Calibri"/>
          <w:sz w:val="22"/>
          <w:szCs w:val="22"/>
        </w:rPr>
      </w:pPr>
    </w:p>
    <w:p w:rsidR="00A317F4" w:rsidRDefault="00A317F4" w:rsidP="009A4167">
      <w:pPr>
        <w:jc w:val="both"/>
        <w:rPr>
          <w:rFonts w:ascii="Calibri" w:hAnsi="Calibri"/>
          <w:sz w:val="22"/>
          <w:szCs w:val="22"/>
        </w:rPr>
      </w:pPr>
    </w:p>
    <w:p w:rsidR="00A317F4" w:rsidRPr="00C64498" w:rsidRDefault="00A317F4" w:rsidP="009A4167">
      <w:pPr>
        <w:jc w:val="both"/>
        <w:rPr>
          <w:rFonts w:ascii="Calibri" w:hAnsi="Calibri"/>
          <w:sz w:val="22"/>
          <w:szCs w:val="22"/>
        </w:rPr>
      </w:pPr>
    </w:p>
    <w:p w:rsidR="00E14150" w:rsidRPr="00A37C3B" w:rsidRDefault="009A4167" w:rsidP="009A4167">
      <w:pPr>
        <w:jc w:val="both"/>
        <w:rPr>
          <w:rFonts w:ascii="Calibri" w:hAnsi="Calibri"/>
          <w:b/>
          <w:sz w:val="22"/>
          <w:szCs w:val="22"/>
        </w:rPr>
      </w:pPr>
      <w:r w:rsidRPr="00634133">
        <w:rPr>
          <w:rFonts w:ascii="Calibri" w:hAnsi="Calibri"/>
          <w:b/>
        </w:rPr>
        <w:lastRenderedPageBreak/>
        <w:t>V</w:t>
      </w:r>
      <w:r w:rsidR="00E14150" w:rsidRPr="00634133">
        <w:rPr>
          <w:rFonts w:ascii="Calibri" w:hAnsi="Calibri"/>
          <w:b/>
        </w:rPr>
        <w:t>erteilung</w:t>
      </w:r>
      <w:r w:rsidRPr="00634133">
        <w:rPr>
          <w:rFonts w:ascii="Calibri" w:hAnsi="Calibri"/>
          <w:b/>
        </w:rPr>
        <w:t xml:space="preserve"> nach Geschlecht und Einzel-/Paar-/Familienberatung</w:t>
      </w:r>
      <w:r w:rsidR="00E14150" w:rsidRPr="00634133">
        <w:rPr>
          <w:rFonts w:ascii="Calibri" w:hAnsi="Calibri"/>
          <w:b/>
        </w:rPr>
        <w:t>:</w:t>
      </w:r>
      <w:r w:rsidR="00143A92">
        <w:rPr>
          <w:rFonts w:ascii="Calibri" w:hAnsi="Calibri"/>
          <w:b/>
        </w:rPr>
        <w:t xml:space="preserve"> </w:t>
      </w:r>
      <w:r w:rsidR="00143A92" w:rsidRPr="00A37C3B">
        <w:rPr>
          <w:rFonts w:ascii="Calibri" w:hAnsi="Calibri"/>
          <w:i/>
          <w:sz w:val="22"/>
          <w:szCs w:val="22"/>
        </w:rPr>
        <w:t xml:space="preserve">(siehe dazu auch Abbildung </w:t>
      </w:r>
      <w:r w:rsidR="00F42546">
        <w:rPr>
          <w:rFonts w:ascii="Calibri" w:hAnsi="Calibri"/>
          <w:i/>
          <w:sz w:val="22"/>
          <w:szCs w:val="22"/>
        </w:rPr>
        <w:t>2</w:t>
      </w:r>
      <w:r w:rsidR="00910F73" w:rsidRPr="00A37C3B">
        <w:rPr>
          <w:rFonts w:ascii="Calibri" w:hAnsi="Calibri"/>
          <w:i/>
          <w:sz w:val="22"/>
          <w:szCs w:val="22"/>
        </w:rPr>
        <w:t xml:space="preserve"> </w:t>
      </w:r>
      <w:r w:rsidR="00143A92" w:rsidRPr="00A37C3B">
        <w:rPr>
          <w:rFonts w:ascii="Calibri" w:hAnsi="Calibri"/>
          <w:i/>
          <w:sz w:val="22"/>
          <w:szCs w:val="22"/>
        </w:rPr>
        <w:t>im Anhang)</w:t>
      </w:r>
    </w:p>
    <w:p w:rsidR="009A4167" w:rsidRPr="00C64498" w:rsidRDefault="009A4167" w:rsidP="009A4167">
      <w:pPr>
        <w:jc w:val="both"/>
        <w:rPr>
          <w:rFonts w:ascii="Calibri" w:hAnsi="Calibri"/>
          <w:b/>
          <w:sz w:val="22"/>
          <w:szCs w:val="22"/>
        </w:rPr>
      </w:pPr>
    </w:p>
    <w:p w:rsidR="00F2497C" w:rsidRPr="00F2497C" w:rsidRDefault="00F2497C" w:rsidP="00F2497C">
      <w:pPr>
        <w:contextualSpacing/>
        <w:jc w:val="both"/>
        <w:rPr>
          <w:rFonts w:ascii="Calibri" w:hAnsi="Calibri"/>
          <w:sz w:val="22"/>
          <w:szCs w:val="22"/>
        </w:rPr>
      </w:pPr>
      <w:r>
        <w:rPr>
          <w:rFonts w:ascii="Calibri" w:hAnsi="Calibri"/>
          <w:sz w:val="22"/>
          <w:szCs w:val="22"/>
        </w:rPr>
        <w:t xml:space="preserve">Im Hinblick auf die Verteilung nach Geschlecht hat sich im Lauf des </w:t>
      </w:r>
      <w:r w:rsidRPr="00A37C3B">
        <w:rPr>
          <w:rFonts w:ascii="Calibri" w:hAnsi="Calibri"/>
          <w:b/>
          <w:sz w:val="22"/>
          <w:szCs w:val="22"/>
        </w:rPr>
        <w:t>gesamten Auswertungszeitraums</w:t>
      </w:r>
      <w:r>
        <w:rPr>
          <w:rFonts w:ascii="Calibri" w:hAnsi="Calibri"/>
          <w:sz w:val="22"/>
          <w:szCs w:val="22"/>
        </w:rPr>
        <w:t xml:space="preserve"> nur wenig geändert, d.h. Männer stellten in allen Monat</w:t>
      </w:r>
      <w:r w:rsidR="004B121B">
        <w:rPr>
          <w:rFonts w:ascii="Calibri" w:hAnsi="Calibri"/>
          <w:sz w:val="22"/>
          <w:szCs w:val="22"/>
        </w:rPr>
        <w:t>en zwischen 52 und knapp über 55</w:t>
      </w:r>
      <w:r>
        <w:rPr>
          <w:rFonts w:ascii="Calibri" w:hAnsi="Calibri"/>
          <w:sz w:val="22"/>
          <w:szCs w:val="22"/>
        </w:rPr>
        <w:t xml:space="preserve"> Prozent der Ratsuchenden. Die Anzahl der ratsuchenden Paare bzw. Familien blieb konstant klein (3 Prozent aller Beratungen im vierten Quartal 2014, 1 Prozent im ersten Quartal 2015 und 1,5 Prozent in</w:t>
      </w:r>
      <w:r w:rsidR="00910F73">
        <w:rPr>
          <w:rFonts w:ascii="Calibri" w:hAnsi="Calibri"/>
          <w:sz w:val="22"/>
          <w:szCs w:val="22"/>
        </w:rPr>
        <w:t xml:space="preserve"> den Monaten April und Mai 2015 (siehe dazu auch </w:t>
      </w:r>
      <w:r w:rsidR="00910F73" w:rsidRPr="00AE08D5">
        <w:rPr>
          <w:rFonts w:ascii="Calibri" w:hAnsi="Calibri"/>
          <w:sz w:val="22"/>
          <w:szCs w:val="22"/>
        </w:rPr>
        <w:t xml:space="preserve">Abbildung </w:t>
      </w:r>
      <w:r w:rsidR="00AE08D5" w:rsidRPr="00AE08D5">
        <w:rPr>
          <w:rFonts w:ascii="Calibri" w:hAnsi="Calibri"/>
          <w:sz w:val="22"/>
          <w:szCs w:val="22"/>
        </w:rPr>
        <w:t xml:space="preserve">6 </w:t>
      </w:r>
      <w:r w:rsidR="00910F73" w:rsidRPr="00AE08D5">
        <w:rPr>
          <w:rFonts w:ascii="Calibri" w:hAnsi="Calibri"/>
          <w:sz w:val="22"/>
          <w:szCs w:val="22"/>
        </w:rPr>
        <w:t>im</w:t>
      </w:r>
      <w:r w:rsidR="00910F73">
        <w:rPr>
          <w:rFonts w:ascii="Calibri" w:hAnsi="Calibri"/>
          <w:sz w:val="22"/>
          <w:szCs w:val="22"/>
        </w:rPr>
        <w:t xml:space="preserve"> Anhang).</w:t>
      </w:r>
    </w:p>
    <w:p w:rsidR="00C56EEC" w:rsidRDefault="00C56EEC" w:rsidP="009A4167">
      <w:pPr>
        <w:jc w:val="both"/>
        <w:rPr>
          <w:rFonts w:ascii="Calibri" w:hAnsi="Calibri"/>
          <w:b/>
          <w:sz w:val="22"/>
          <w:szCs w:val="22"/>
        </w:rPr>
      </w:pPr>
    </w:p>
    <w:p w:rsidR="00F2497C" w:rsidRDefault="00F2497C" w:rsidP="009A4167">
      <w:pPr>
        <w:jc w:val="both"/>
        <w:rPr>
          <w:rFonts w:ascii="Calibri" w:hAnsi="Calibri"/>
          <w:b/>
          <w:sz w:val="22"/>
          <w:szCs w:val="22"/>
        </w:rPr>
      </w:pPr>
    </w:p>
    <w:p w:rsidR="00347692" w:rsidRPr="00A37C3B" w:rsidRDefault="008F6E8D" w:rsidP="009A4167">
      <w:pPr>
        <w:jc w:val="both"/>
        <w:rPr>
          <w:rFonts w:ascii="Calibri" w:hAnsi="Calibri"/>
          <w:i/>
          <w:sz w:val="22"/>
          <w:szCs w:val="22"/>
        </w:rPr>
      </w:pPr>
      <w:r w:rsidRPr="000B4221">
        <w:rPr>
          <w:rFonts w:ascii="Calibri" w:hAnsi="Calibri"/>
          <w:b/>
        </w:rPr>
        <w:t xml:space="preserve">Die 10 häufigsten </w:t>
      </w:r>
      <w:r w:rsidR="0020446D" w:rsidRPr="000B4221">
        <w:rPr>
          <w:rFonts w:ascii="Calibri" w:hAnsi="Calibri"/>
          <w:b/>
        </w:rPr>
        <w:t>Herkunftsländer</w:t>
      </w:r>
      <w:r w:rsidRPr="000B4221">
        <w:rPr>
          <w:rFonts w:ascii="Calibri" w:hAnsi="Calibri"/>
          <w:b/>
        </w:rPr>
        <w:t xml:space="preserve"> in Zahlen</w:t>
      </w:r>
      <w:r w:rsidR="0020446D" w:rsidRPr="000B4221">
        <w:rPr>
          <w:rFonts w:ascii="Calibri" w:hAnsi="Calibri"/>
          <w:b/>
        </w:rPr>
        <w:t>:</w:t>
      </w:r>
      <w:r w:rsidRPr="000B4221">
        <w:rPr>
          <w:rFonts w:ascii="Calibri" w:hAnsi="Calibri"/>
          <w:b/>
        </w:rPr>
        <w:t xml:space="preserve"> </w:t>
      </w:r>
      <w:r w:rsidR="00143A92" w:rsidRPr="00A37C3B">
        <w:rPr>
          <w:rFonts w:ascii="Calibri" w:hAnsi="Calibri"/>
          <w:i/>
          <w:sz w:val="22"/>
          <w:szCs w:val="22"/>
        </w:rPr>
        <w:t>(</w:t>
      </w:r>
      <w:r w:rsidR="00DF2707" w:rsidRPr="00A37C3B">
        <w:rPr>
          <w:rFonts w:ascii="Calibri" w:hAnsi="Calibri"/>
          <w:i/>
          <w:sz w:val="22"/>
          <w:szCs w:val="22"/>
        </w:rPr>
        <w:t>für eine Übersicht</w:t>
      </w:r>
      <w:r w:rsidR="00143A92" w:rsidRPr="00A37C3B">
        <w:rPr>
          <w:rFonts w:ascii="Calibri" w:hAnsi="Calibri"/>
          <w:i/>
          <w:sz w:val="22"/>
          <w:szCs w:val="22"/>
        </w:rPr>
        <w:t xml:space="preserve"> zu allen Herku</w:t>
      </w:r>
      <w:r w:rsidR="00DF2707" w:rsidRPr="00A37C3B">
        <w:rPr>
          <w:rFonts w:ascii="Calibri" w:hAnsi="Calibri"/>
          <w:i/>
          <w:sz w:val="22"/>
          <w:szCs w:val="22"/>
        </w:rPr>
        <w:t xml:space="preserve">nftsländern siehe Tabelle 1 im </w:t>
      </w:r>
      <w:r w:rsidR="00143A92" w:rsidRPr="00A37C3B">
        <w:rPr>
          <w:rFonts w:ascii="Calibri" w:hAnsi="Calibri"/>
          <w:i/>
          <w:sz w:val="22"/>
          <w:szCs w:val="22"/>
        </w:rPr>
        <w:t>Anhang)</w:t>
      </w:r>
    </w:p>
    <w:p w:rsidR="00F70F65" w:rsidRPr="0029703C" w:rsidRDefault="00F70F65" w:rsidP="0029703C">
      <w:pPr>
        <w:jc w:val="both"/>
        <w:rPr>
          <w:rFonts w:ascii="Calibri" w:hAnsi="Calibri"/>
          <w:sz w:val="32"/>
          <w:szCs w:val="32"/>
        </w:rPr>
      </w:pPr>
    </w:p>
    <w:p w:rsidR="00653616" w:rsidRDefault="00383BE7" w:rsidP="00653616">
      <w:pPr>
        <w:contextualSpacing/>
        <w:jc w:val="both"/>
        <w:rPr>
          <w:rFonts w:ascii="Calibri" w:hAnsi="Calibri"/>
          <w:sz w:val="22"/>
          <w:szCs w:val="22"/>
        </w:rPr>
      </w:pPr>
      <w:r>
        <w:rPr>
          <w:rFonts w:ascii="Calibri" w:hAnsi="Calibri"/>
          <w:sz w:val="22"/>
          <w:szCs w:val="22"/>
        </w:rPr>
        <w:t xml:space="preserve">Im </w:t>
      </w:r>
      <w:r w:rsidRPr="00DC099E">
        <w:rPr>
          <w:rFonts w:ascii="Calibri" w:hAnsi="Calibri"/>
          <w:sz w:val="22"/>
          <w:szCs w:val="22"/>
        </w:rPr>
        <w:t>gesamten Auswertungszeitraum</w:t>
      </w:r>
      <w:r>
        <w:rPr>
          <w:rFonts w:ascii="Calibri" w:hAnsi="Calibri"/>
          <w:sz w:val="22"/>
          <w:szCs w:val="22"/>
        </w:rPr>
        <w:t xml:space="preserve"> lag der Prozentsatz der Ratsuchenden, die aus den 10 hä</w:t>
      </w:r>
      <w:r w:rsidR="003F5092">
        <w:rPr>
          <w:rFonts w:ascii="Calibri" w:hAnsi="Calibri"/>
          <w:sz w:val="22"/>
          <w:szCs w:val="22"/>
        </w:rPr>
        <w:t>ufigsten Herkunftsländern kamen</w:t>
      </w:r>
      <w:r>
        <w:rPr>
          <w:rFonts w:ascii="Calibri" w:hAnsi="Calibri"/>
          <w:sz w:val="22"/>
          <w:szCs w:val="22"/>
        </w:rPr>
        <w:t xml:space="preserve"> konstant bei 56 bzw. 57 Prozent. Italienische Ratsuchende stellten in allen drei ausgewerteten Zeiträumen </w:t>
      </w:r>
      <w:r w:rsidR="00BC549C">
        <w:rPr>
          <w:rFonts w:ascii="Calibri" w:hAnsi="Calibri"/>
          <w:sz w:val="22"/>
          <w:szCs w:val="22"/>
        </w:rPr>
        <w:t xml:space="preserve">mit klarem Abstand </w:t>
      </w:r>
      <w:r>
        <w:rPr>
          <w:rFonts w:ascii="Calibri" w:hAnsi="Calibri"/>
          <w:sz w:val="22"/>
          <w:szCs w:val="22"/>
        </w:rPr>
        <w:t>die größte Gruppe dar (14 Prozent</w:t>
      </w:r>
      <w:r w:rsidR="00BC549C">
        <w:rPr>
          <w:rFonts w:ascii="Calibri" w:hAnsi="Calibri"/>
          <w:sz w:val="22"/>
          <w:szCs w:val="22"/>
        </w:rPr>
        <w:t xml:space="preserve"> </w:t>
      </w:r>
      <w:r w:rsidR="009D598A">
        <w:rPr>
          <w:rFonts w:ascii="Calibri" w:hAnsi="Calibri"/>
          <w:sz w:val="22"/>
          <w:szCs w:val="22"/>
        </w:rPr>
        <w:t xml:space="preserve">der Kontakte </w:t>
      </w:r>
      <w:r w:rsidR="00BC549C">
        <w:rPr>
          <w:rFonts w:ascii="Calibri" w:hAnsi="Calibri"/>
          <w:sz w:val="22"/>
          <w:szCs w:val="22"/>
        </w:rPr>
        <w:t>im vierten Quartal 2014, 12 Prozent im ersten Quartal 2015 und</w:t>
      </w:r>
      <w:r w:rsidR="007E1FDD">
        <w:rPr>
          <w:rFonts w:ascii="Calibri" w:hAnsi="Calibri"/>
          <w:sz w:val="22"/>
          <w:szCs w:val="22"/>
        </w:rPr>
        <w:t xml:space="preserve"> 13 Prozent im April/ Mai 2015), gefolgt von Spanien und Kroatien. Insgesamt umfassten die 10 häufigsten Herkunftsländer im gesamten Auswertungszeitraum konstant 7 EU-Staaten und jeweils 3 Drittstaaten, wobei hinsichtlich der Drittstaaten nur Syrien immer vertreten war. </w:t>
      </w:r>
      <w:r w:rsidR="00802626">
        <w:rPr>
          <w:rFonts w:ascii="Calibri" w:hAnsi="Calibri"/>
          <w:sz w:val="22"/>
          <w:szCs w:val="22"/>
        </w:rPr>
        <w:t>Kontinuierlich z</w:t>
      </w:r>
      <w:r w:rsidR="001F1C9C">
        <w:rPr>
          <w:rFonts w:ascii="Calibri" w:hAnsi="Calibri"/>
          <w:sz w:val="22"/>
          <w:szCs w:val="22"/>
        </w:rPr>
        <w:t xml:space="preserve">ugenommen hat zwischen Oktober 2014 und Mai 2015 vor allem die Zahl der Ratsuchenden aus Syrien (6 </w:t>
      </w:r>
      <w:r w:rsidR="00A37C3B">
        <w:rPr>
          <w:rFonts w:ascii="Calibri" w:hAnsi="Calibri"/>
          <w:sz w:val="22"/>
          <w:szCs w:val="22"/>
        </w:rPr>
        <w:t xml:space="preserve">Personen </w:t>
      </w:r>
      <w:r w:rsidR="001F1C9C">
        <w:rPr>
          <w:rFonts w:ascii="Calibri" w:hAnsi="Calibri"/>
          <w:sz w:val="22"/>
          <w:szCs w:val="22"/>
        </w:rPr>
        <w:t>im vierten Quartal 2014, 15 im ersten Quartal 2015 und 21 in den Monaten April/ Mai 2015).</w:t>
      </w:r>
    </w:p>
    <w:p w:rsidR="00A317F4" w:rsidRDefault="00A317F4" w:rsidP="00653616">
      <w:pPr>
        <w:contextualSpacing/>
        <w:jc w:val="both"/>
        <w:rPr>
          <w:rFonts w:ascii="Calibri" w:hAnsi="Calibri"/>
          <w:sz w:val="22"/>
          <w:szCs w:val="22"/>
        </w:rPr>
      </w:pPr>
    </w:p>
    <w:p w:rsidR="00FC7D3D" w:rsidRDefault="00FC7D3D" w:rsidP="00653616">
      <w:pPr>
        <w:contextualSpacing/>
        <w:jc w:val="both"/>
        <w:rPr>
          <w:rFonts w:ascii="Calibri" w:hAnsi="Calibri"/>
          <w:sz w:val="22"/>
          <w:szCs w:val="22"/>
        </w:rPr>
      </w:pPr>
      <w:r>
        <w:rPr>
          <w:rFonts w:ascii="Calibri" w:hAnsi="Calibri"/>
          <w:sz w:val="22"/>
          <w:szCs w:val="22"/>
        </w:rPr>
        <w:t xml:space="preserve">Im Zeitraum </w:t>
      </w:r>
      <w:r w:rsidRPr="00293CB3">
        <w:rPr>
          <w:rFonts w:ascii="Calibri" w:hAnsi="Calibri"/>
          <w:b/>
          <w:sz w:val="22"/>
          <w:szCs w:val="22"/>
        </w:rPr>
        <w:t>2. Oktober 2014 bis 29. Mai 2015</w:t>
      </w:r>
      <w:r>
        <w:rPr>
          <w:rFonts w:ascii="Calibri" w:hAnsi="Calibri"/>
          <w:sz w:val="22"/>
          <w:szCs w:val="22"/>
        </w:rPr>
        <w:t xml:space="preserve"> wandten sich Ratsuchende aus </w:t>
      </w:r>
      <w:r w:rsidRPr="00293CB3">
        <w:rPr>
          <w:rFonts w:ascii="Calibri" w:hAnsi="Calibri"/>
          <w:b/>
          <w:sz w:val="22"/>
          <w:szCs w:val="22"/>
        </w:rPr>
        <w:t>99 Herkunftsländern</w:t>
      </w:r>
      <w:r w:rsidR="0029703C">
        <w:rPr>
          <w:rFonts w:ascii="Calibri" w:hAnsi="Calibri"/>
          <w:sz w:val="22"/>
          <w:szCs w:val="22"/>
        </w:rPr>
        <w:t xml:space="preserve"> an das Welcome Center (die </w:t>
      </w:r>
      <w:r>
        <w:rPr>
          <w:rFonts w:ascii="Calibri" w:hAnsi="Calibri"/>
          <w:sz w:val="22"/>
          <w:szCs w:val="22"/>
        </w:rPr>
        <w:t>detaillierte Übersichtstabelle zu den Herkunftsländern findet sich im Anhang</w:t>
      </w:r>
      <w:r w:rsidR="00DF2707">
        <w:rPr>
          <w:rFonts w:ascii="Calibri" w:hAnsi="Calibri"/>
          <w:sz w:val="22"/>
          <w:szCs w:val="22"/>
        </w:rPr>
        <w:t>, Tabelle 3</w:t>
      </w:r>
      <w:r>
        <w:rPr>
          <w:rFonts w:ascii="Calibri" w:hAnsi="Calibri"/>
          <w:sz w:val="22"/>
          <w:szCs w:val="22"/>
        </w:rPr>
        <w:t>).</w:t>
      </w:r>
      <w:r w:rsidR="00E64115">
        <w:rPr>
          <w:rFonts w:ascii="Calibri" w:hAnsi="Calibri"/>
          <w:sz w:val="22"/>
          <w:szCs w:val="22"/>
        </w:rPr>
        <w:t xml:space="preserve"> Mehr als 100 Ratsuchende kamen in diesem Zeitraum aus den folgenden Ländern: Italien (272 Personen), Kroatien (174 Personen), Spanien (160 Personen), Griechenland (118 Personen) und Rumänien (107 Personen).</w:t>
      </w:r>
      <w:r w:rsidR="007A48F9">
        <w:rPr>
          <w:rFonts w:ascii="Calibri" w:hAnsi="Calibri"/>
          <w:sz w:val="22"/>
          <w:szCs w:val="22"/>
        </w:rPr>
        <w:t xml:space="preserve"> Mehr als 50 Ratsuchende kamen aus: Deutschland (84 Personen), Syrien (79 Personen), Brasilien (58 Personen) und Indien (57 Personen).</w:t>
      </w:r>
      <w:r w:rsidR="0029703C">
        <w:rPr>
          <w:rFonts w:ascii="Calibri" w:hAnsi="Calibri"/>
          <w:sz w:val="22"/>
          <w:szCs w:val="22"/>
        </w:rPr>
        <w:t xml:space="preserve"> </w:t>
      </w:r>
    </w:p>
    <w:p w:rsidR="00FC7D3D" w:rsidRDefault="00FC7D3D" w:rsidP="00653616">
      <w:pPr>
        <w:contextualSpacing/>
        <w:jc w:val="both"/>
        <w:rPr>
          <w:rFonts w:ascii="Calibri" w:hAnsi="Calibri"/>
          <w:sz w:val="22"/>
          <w:szCs w:val="22"/>
        </w:rPr>
      </w:pPr>
    </w:p>
    <w:p w:rsidR="00293CB3" w:rsidRDefault="00293CB3" w:rsidP="00653616">
      <w:pPr>
        <w:contextualSpacing/>
        <w:jc w:val="both"/>
        <w:rPr>
          <w:rFonts w:ascii="Calibri" w:hAnsi="Calibri"/>
          <w:sz w:val="22"/>
          <w:szCs w:val="22"/>
        </w:rPr>
      </w:pPr>
    </w:p>
    <w:p w:rsidR="008F79C1" w:rsidRPr="000B4221" w:rsidRDefault="008F79C1" w:rsidP="00653616">
      <w:pPr>
        <w:contextualSpacing/>
        <w:jc w:val="both"/>
        <w:rPr>
          <w:rFonts w:ascii="Calibri" w:hAnsi="Calibri"/>
          <w:b/>
        </w:rPr>
      </w:pPr>
      <w:r w:rsidRPr="000B4221">
        <w:rPr>
          <w:rFonts w:ascii="Calibri" w:hAnsi="Calibri"/>
          <w:b/>
        </w:rPr>
        <w:t>Aufenthaltstitel der Ratsuchenden:</w:t>
      </w:r>
    </w:p>
    <w:p w:rsidR="008F79C1" w:rsidRPr="000B4221" w:rsidRDefault="008F79C1" w:rsidP="00653616">
      <w:pPr>
        <w:contextualSpacing/>
        <w:jc w:val="both"/>
        <w:rPr>
          <w:rFonts w:ascii="Calibri" w:hAnsi="Calibri"/>
          <w:b/>
          <w:sz w:val="22"/>
          <w:szCs w:val="22"/>
        </w:rPr>
      </w:pPr>
    </w:p>
    <w:p w:rsidR="00874106" w:rsidRDefault="00DC099E" w:rsidP="00E3377F">
      <w:pPr>
        <w:jc w:val="both"/>
        <w:rPr>
          <w:rFonts w:ascii="Calibri" w:hAnsi="Calibri"/>
          <w:sz w:val="22"/>
          <w:szCs w:val="22"/>
        </w:rPr>
      </w:pPr>
      <w:r>
        <w:rPr>
          <w:rFonts w:ascii="Calibri" w:hAnsi="Calibri"/>
          <w:sz w:val="22"/>
          <w:szCs w:val="22"/>
        </w:rPr>
        <w:t>C</w:t>
      </w:r>
      <w:r w:rsidR="00B3400B">
        <w:rPr>
          <w:rFonts w:ascii="Calibri" w:hAnsi="Calibri"/>
          <w:sz w:val="22"/>
          <w:szCs w:val="22"/>
        </w:rPr>
        <w:t xml:space="preserve">a. </w:t>
      </w:r>
      <w:r w:rsidR="00B3400B" w:rsidRPr="00A37C3B">
        <w:rPr>
          <w:rFonts w:ascii="Calibri" w:hAnsi="Calibri"/>
          <w:b/>
          <w:sz w:val="22"/>
          <w:szCs w:val="22"/>
        </w:rPr>
        <w:t>90</w:t>
      </w:r>
      <w:r w:rsidR="00B3400B">
        <w:rPr>
          <w:rFonts w:ascii="Calibri" w:hAnsi="Calibri"/>
          <w:sz w:val="22"/>
          <w:szCs w:val="22"/>
        </w:rPr>
        <w:t xml:space="preserve"> </w:t>
      </w:r>
      <w:r w:rsidR="00B3400B" w:rsidRPr="00A37C3B">
        <w:rPr>
          <w:rFonts w:ascii="Calibri" w:hAnsi="Calibri"/>
          <w:b/>
          <w:sz w:val="22"/>
          <w:szCs w:val="22"/>
        </w:rPr>
        <w:t>Prozent</w:t>
      </w:r>
      <w:r w:rsidR="00B3400B">
        <w:rPr>
          <w:rFonts w:ascii="Calibri" w:hAnsi="Calibri"/>
          <w:sz w:val="22"/>
          <w:szCs w:val="22"/>
        </w:rPr>
        <w:t xml:space="preserve"> der Ratsuchenden </w:t>
      </w:r>
      <w:r>
        <w:rPr>
          <w:rFonts w:ascii="Calibri" w:hAnsi="Calibri"/>
          <w:sz w:val="22"/>
          <w:szCs w:val="22"/>
        </w:rPr>
        <w:t xml:space="preserve">befanden sich </w:t>
      </w:r>
      <w:r w:rsidR="00B3400B">
        <w:rPr>
          <w:rFonts w:ascii="Calibri" w:hAnsi="Calibri"/>
          <w:sz w:val="22"/>
          <w:szCs w:val="22"/>
        </w:rPr>
        <w:t xml:space="preserve">in Deutschland, von diesen </w:t>
      </w:r>
      <w:r w:rsidR="00F341F9">
        <w:rPr>
          <w:rFonts w:ascii="Calibri" w:hAnsi="Calibri"/>
          <w:sz w:val="22"/>
          <w:szCs w:val="22"/>
        </w:rPr>
        <w:t xml:space="preserve">benannten </w:t>
      </w:r>
      <w:r w:rsidR="002D4646">
        <w:rPr>
          <w:rFonts w:ascii="Calibri" w:hAnsi="Calibri"/>
          <w:sz w:val="22"/>
          <w:szCs w:val="22"/>
        </w:rPr>
        <w:t>zwischen 75</w:t>
      </w:r>
      <w:r w:rsidR="00B3400B">
        <w:rPr>
          <w:rFonts w:ascii="Calibri" w:hAnsi="Calibri"/>
          <w:sz w:val="22"/>
          <w:szCs w:val="22"/>
        </w:rPr>
        <w:t xml:space="preserve"> Prozent (April/ Mai 2015) und 85 Prozent (Januar bis März 2015) </w:t>
      </w:r>
      <w:r w:rsidR="00B3400B" w:rsidRPr="00A37C3B">
        <w:rPr>
          <w:rFonts w:ascii="Calibri" w:hAnsi="Calibri"/>
          <w:sz w:val="22"/>
          <w:szCs w:val="22"/>
          <w:u w:val="single"/>
        </w:rPr>
        <w:t>Stuttgart</w:t>
      </w:r>
      <w:r w:rsidR="00B3400B">
        <w:rPr>
          <w:rFonts w:ascii="Calibri" w:hAnsi="Calibri"/>
          <w:sz w:val="22"/>
          <w:szCs w:val="22"/>
        </w:rPr>
        <w:t xml:space="preserve"> als ihren A</w:t>
      </w:r>
      <w:r w:rsidR="00F341F9">
        <w:rPr>
          <w:rFonts w:ascii="Calibri" w:hAnsi="Calibri"/>
          <w:sz w:val="22"/>
          <w:szCs w:val="22"/>
        </w:rPr>
        <w:t>ufenthaltsort</w:t>
      </w:r>
      <w:r w:rsidR="00B3400B">
        <w:rPr>
          <w:rFonts w:ascii="Calibri" w:hAnsi="Calibri"/>
          <w:sz w:val="22"/>
          <w:szCs w:val="22"/>
        </w:rPr>
        <w:t>.</w:t>
      </w:r>
      <w:r w:rsidR="00100219">
        <w:rPr>
          <w:rFonts w:ascii="Calibri" w:hAnsi="Calibri"/>
          <w:sz w:val="22"/>
          <w:szCs w:val="22"/>
        </w:rPr>
        <w:t xml:space="preserve"> Zwischen 7 Prozent im vierten Quartal 2014 und 13 Prozent im ersten Quartal 2015 hielten sich zum Zeitpunkt der Beratung in der </w:t>
      </w:r>
      <w:r w:rsidR="00100219" w:rsidRPr="00A37C3B">
        <w:rPr>
          <w:rFonts w:ascii="Calibri" w:hAnsi="Calibri"/>
          <w:sz w:val="22"/>
          <w:szCs w:val="22"/>
          <w:u w:val="single"/>
        </w:rPr>
        <w:t>Region Stuttgart</w:t>
      </w:r>
      <w:r w:rsidR="00100219">
        <w:rPr>
          <w:rFonts w:ascii="Calibri" w:hAnsi="Calibri"/>
          <w:sz w:val="22"/>
          <w:szCs w:val="22"/>
        </w:rPr>
        <w:t xml:space="preserve"> auf.</w:t>
      </w:r>
      <w:r w:rsidR="008C2CDF">
        <w:rPr>
          <w:rFonts w:ascii="Calibri" w:hAnsi="Calibri"/>
          <w:sz w:val="22"/>
          <w:szCs w:val="22"/>
        </w:rPr>
        <w:t xml:space="preserve"> Ratsuchende aus </w:t>
      </w:r>
      <w:r w:rsidR="008C2CDF" w:rsidRPr="00A37C3B">
        <w:rPr>
          <w:rFonts w:ascii="Calibri" w:hAnsi="Calibri"/>
          <w:sz w:val="22"/>
          <w:szCs w:val="22"/>
          <w:u w:val="single"/>
        </w:rPr>
        <w:t>überregionalen</w:t>
      </w:r>
      <w:r w:rsidR="008C2CDF">
        <w:rPr>
          <w:rFonts w:ascii="Calibri" w:hAnsi="Calibri"/>
          <w:sz w:val="22"/>
          <w:szCs w:val="22"/>
        </w:rPr>
        <w:t xml:space="preserve"> Städten und Gemeinden machten jeweils nur einen kleinen Teil aus, d.h. zwischen 2,5 Prozent im ersten Quartal 2015 und 3,3 Prozent im April/</w:t>
      </w:r>
      <w:r w:rsidR="0029703C">
        <w:rPr>
          <w:rFonts w:ascii="Calibri" w:hAnsi="Calibri"/>
          <w:sz w:val="22"/>
          <w:szCs w:val="22"/>
        </w:rPr>
        <w:t xml:space="preserve"> Mai 2015 (siehe dazu auch </w:t>
      </w:r>
      <w:r w:rsidR="0029703C" w:rsidRPr="0046325F">
        <w:rPr>
          <w:rFonts w:ascii="Calibri" w:hAnsi="Calibri"/>
          <w:sz w:val="22"/>
          <w:szCs w:val="22"/>
        </w:rPr>
        <w:t xml:space="preserve">Abbildung </w:t>
      </w:r>
      <w:r w:rsidR="0046325F" w:rsidRPr="0046325F">
        <w:rPr>
          <w:rFonts w:ascii="Calibri" w:hAnsi="Calibri"/>
          <w:sz w:val="22"/>
          <w:szCs w:val="22"/>
        </w:rPr>
        <w:t xml:space="preserve">7 </w:t>
      </w:r>
      <w:r w:rsidR="0029703C" w:rsidRPr="0046325F">
        <w:rPr>
          <w:rFonts w:ascii="Calibri" w:hAnsi="Calibri"/>
          <w:sz w:val="22"/>
          <w:szCs w:val="22"/>
        </w:rPr>
        <w:t>im</w:t>
      </w:r>
      <w:r w:rsidR="0029703C">
        <w:rPr>
          <w:rFonts w:ascii="Calibri" w:hAnsi="Calibri"/>
          <w:sz w:val="22"/>
          <w:szCs w:val="22"/>
        </w:rPr>
        <w:t xml:space="preserve"> Anhang).</w:t>
      </w:r>
    </w:p>
    <w:p w:rsidR="002337F8" w:rsidRDefault="002337F8" w:rsidP="006E6183">
      <w:pPr>
        <w:jc w:val="both"/>
        <w:rPr>
          <w:rFonts w:ascii="Calibri" w:hAnsi="Calibri"/>
          <w:sz w:val="22"/>
          <w:szCs w:val="22"/>
        </w:rPr>
      </w:pPr>
    </w:p>
    <w:p w:rsidR="006945F1" w:rsidRPr="00A37C3B" w:rsidRDefault="006945F1" w:rsidP="006E6183">
      <w:pPr>
        <w:jc w:val="both"/>
        <w:rPr>
          <w:rFonts w:ascii="Calibri" w:hAnsi="Calibri"/>
          <w:b/>
          <w:sz w:val="22"/>
          <w:szCs w:val="22"/>
        </w:rPr>
      </w:pPr>
      <w:r w:rsidRPr="00A5605A">
        <w:rPr>
          <w:rFonts w:ascii="Calibri" w:hAnsi="Calibri"/>
          <w:b/>
        </w:rPr>
        <w:t>Ratsuchende nach Unionsbürgers</w:t>
      </w:r>
      <w:r w:rsidR="002337F8">
        <w:rPr>
          <w:rFonts w:ascii="Calibri" w:hAnsi="Calibri"/>
          <w:b/>
        </w:rPr>
        <w:t>tatus und Drittstaatsangehörigkeit</w:t>
      </w:r>
      <w:r w:rsidRPr="00A5605A">
        <w:rPr>
          <w:rFonts w:ascii="Calibri" w:hAnsi="Calibri"/>
          <w:b/>
        </w:rPr>
        <w:t xml:space="preserve"> </w:t>
      </w:r>
      <w:r w:rsidR="00DF2707" w:rsidRPr="00A37C3B">
        <w:rPr>
          <w:rFonts w:ascii="Calibri" w:hAnsi="Calibri"/>
          <w:i/>
          <w:sz w:val="22"/>
          <w:szCs w:val="22"/>
        </w:rPr>
        <w:t xml:space="preserve">(siehe dazu auch Abbildung </w:t>
      </w:r>
      <w:r w:rsidR="00F42546">
        <w:rPr>
          <w:rFonts w:ascii="Calibri" w:hAnsi="Calibri"/>
          <w:i/>
          <w:sz w:val="22"/>
          <w:szCs w:val="22"/>
        </w:rPr>
        <w:t xml:space="preserve">4 </w:t>
      </w:r>
      <w:r w:rsidR="00910F73" w:rsidRPr="00A37C3B">
        <w:rPr>
          <w:rFonts w:ascii="Calibri" w:hAnsi="Calibri"/>
          <w:i/>
          <w:sz w:val="22"/>
          <w:szCs w:val="22"/>
        </w:rPr>
        <w:t xml:space="preserve"> </w:t>
      </w:r>
      <w:r w:rsidR="00DF2707" w:rsidRPr="00A37C3B">
        <w:rPr>
          <w:rFonts w:ascii="Calibri" w:hAnsi="Calibri"/>
          <w:i/>
          <w:sz w:val="22"/>
          <w:szCs w:val="22"/>
        </w:rPr>
        <w:t>im Anhang)</w:t>
      </w:r>
    </w:p>
    <w:p w:rsidR="001B1D5A" w:rsidRPr="00ED5674" w:rsidRDefault="001B1D5A" w:rsidP="006E6183">
      <w:pPr>
        <w:jc w:val="both"/>
        <w:rPr>
          <w:rFonts w:ascii="Calibri" w:hAnsi="Calibri"/>
          <w:sz w:val="22"/>
          <w:szCs w:val="22"/>
          <w:highlight w:val="cyan"/>
        </w:rPr>
      </w:pPr>
    </w:p>
    <w:p w:rsidR="00281053" w:rsidRDefault="00753E91" w:rsidP="006E6183">
      <w:pPr>
        <w:jc w:val="both"/>
        <w:rPr>
          <w:rFonts w:ascii="Calibri" w:hAnsi="Calibri"/>
          <w:sz w:val="22"/>
          <w:szCs w:val="22"/>
        </w:rPr>
      </w:pPr>
      <w:r w:rsidRPr="00A37C3B">
        <w:rPr>
          <w:rFonts w:ascii="Calibri" w:hAnsi="Calibri"/>
          <w:b/>
          <w:sz w:val="22"/>
          <w:szCs w:val="22"/>
        </w:rPr>
        <w:t>Im Verlauf der wissenschaftlichen Begleitung</w:t>
      </w:r>
      <w:r>
        <w:rPr>
          <w:rFonts w:ascii="Calibri" w:hAnsi="Calibri"/>
          <w:sz w:val="22"/>
          <w:szCs w:val="22"/>
        </w:rPr>
        <w:t xml:space="preserve"> ist der Anteil der Ratsuchenden aus EU-Mitgliedsstaaten zurückgegangen von 60 Prozent (O</w:t>
      </w:r>
      <w:r w:rsidR="00B35F82">
        <w:rPr>
          <w:rFonts w:ascii="Calibri" w:hAnsi="Calibri"/>
          <w:sz w:val="22"/>
          <w:szCs w:val="22"/>
        </w:rPr>
        <w:t>ktober bis Dezember 2014) auf 48</w:t>
      </w:r>
      <w:r>
        <w:rPr>
          <w:rFonts w:ascii="Calibri" w:hAnsi="Calibri"/>
          <w:sz w:val="22"/>
          <w:szCs w:val="22"/>
        </w:rPr>
        <w:t xml:space="preserve"> Prozent im April/ Mai 2015. Der stärkste Rückgang erfolgte zwischen dem ersten Quartal 2015 (56 Prozent) und den Monaten April/ Mai 2015.</w:t>
      </w:r>
      <w:r w:rsidR="00E97DF4">
        <w:rPr>
          <w:rFonts w:ascii="Calibri" w:hAnsi="Calibri"/>
          <w:sz w:val="22"/>
          <w:szCs w:val="22"/>
        </w:rPr>
        <w:t xml:space="preserve"> Folgende Konstanten zeigten sich über den </w:t>
      </w:r>
      <w:r w:rsidR="00E97DF4" w:rsidRPr="00A37C3B">
        <w:rPr>
          <w:rFonts w:ascii="Calibri" w:hAnsi="Calibri"/>
          <w:b/>
          <w:sz w:val="22"/>
          <w:szCs w:val="22"/>
        </w:rPr>
        <w:t>gesamten Auswertungszeitraum</w:t>
      </w:r>
      <w:r w:rsidR="00E97DF4">
        <w:rPr>
          <w:rFonts w:ascii="Calibri" w:hAnsi="Calibri"/>
          <w:sz w:val="22"/>
          <w:szCs w:val="22"/>
        </w:rPr>
        <w:t>: Ratsuchende aus EU-Ländern erkundigten sich aufgrund unterschiedlicher aufenthaltsrechtlicher Voraussetzungen deutlich seltener nach aufenthaltsrechtlichen Themen als Drittstaatsangehörige.</w:t>
      </w:r>
      <w:r w:rsidR="00C317C6">
        <w:rPr>
          <w:rFonts w:ascii="Calibri" w:hAnsi="Calibri"/>
          <w:sz w:val="22"/>
          <w:szCs w:val="22"/>
        </w:rPr>
        <w:t xml:space="preserve"> Hingegen wurden konstant ca. 10 Prozent mehr EU-Staatsangehörige zum Thema Spracherwerb ber</w:t>
      </w:r>
      <w:r w:rsidR="00DF2707">
        <w:rPr>
          <w:rFonts w:ascii="Calibri" w:hAnsi="Calibri"/>
          <w:sz w:val="22"/>
          <w:szCs w:val="22"/>
        </w:rPr>
        <w:t xml:space="preserve">aten als Drittstaatsangehörige (siehe dazu auch </w:t>
      </w:r>
      <w:r w:rsidR="00DF2707" w:rsidRPr="0046325F">
        <w:rPr>
          <w:rFonts w:ascii="Calibri" w:hAnsi="Calibri"/>
          <w:sz w:val="22"/>
          <w:szCs w:val="22"/>
        </w:rPr>
        <w:t xml:space="preserve">Abbildung </w:t>
      </w:r>
      <w:r w:rsidR="0046325F" w:rsidRPr="0046325F">
        <w:rPr>
          <w:rFonts w:ascii="Calibri" w:hAnsi="Calibri"/>
          <w:sz w:val="22"/>
          <w:szCs w:val="22"/>
        </w:rPr>
        <w:t xml:space="preserve">8 </w:t>
      </w:r>
      <w:r w:rsidR="00DF2707" w:rsidRPr="0046325F">
        <w:rPr>
          <w:rFonts w:ascii="Calibri" w:hAnsi="Calibri"/>
          <w:sz w:val="22"/>
          <w:szCs w:val="22"/>
        </w:rPr>
        <w:t>im</w:t>
      </w:r>
      <w:r w:rsidR="00DF2707">
        <w:rPr>
          <w:rFonts w:ascii="Calibri" w:hAnsi="Calibri"/>
          <w:sz w:val="22"/>
          <w:szCs w:val="22"/>
        </w:rPr>
        <w:t xml:space="preserve"> Anhang).</w:t>
      </w:r>
    </w:p>
    <w:p w:rsidR="00AE1837" w:rsidRDefault="00AE1837" w:rsidP="006E6183">
      <w:pPr>
        <w:jc w:val="both"/>
        <w:rPr>
          <w:rFonts w:ascii="Calibri" w:hAnsi="Calibri"/>
          <w:sz w:val="22"/>
          <w:szCs w:val="22"/>
        </w:rPr>
      </w:pPr>
    </w:p>
    <w:p w:rsidR="00281053" w:rsidRDefault="00281053" w:rsidP="006E6183">
      <w:pPr>
        <w:jc w:val="both"/>
        <w:rPr>
          <w:rFonts w:ascii="Calibri" w:hAnsi="Calibri"/>
          <w:sz w:val="22"/>
          <w:szCs w:val="22"/>
        </w:rPr>
      </w:pPr>
    </w:p>
    <w:p w:rsidR="006E6183" w:rsidRPr="00BC7DCC" w:rsidRDefault="006E6183" w:rsidP="006E6183">
      <w:pPr>
        <w:jc w:val="both"/>
        <w:rPr>
          <w:rFonts w:ascii="Calibri" w:hAnsi="Calibri"/>
          <w:b/>
        </w:rPr>
      </w:pPr>
      <w:r w:rsidRPr="00BC7DCC">
        <w:rPr>
          <w:rFonts w:ascii="Calibri" w:hAnsi="Calibri"/>
          <w:b/>
        </w:rPr>
        <w:t>Beratung von Fluchtmigrantinnen und -migranten</w:t>
      </w:r>
    </w:p>
    <w:p w:rsidR="006E6183" w:rsidRPr="00EC09B5" w:rsidRDefault="006E6183" w:rsidP="006E6183">
      <w:pPr>
        <w:jc w:val="both"/>
        <w:rPr>
          <w:rFonts w:ascii="Calibri" w:hAnsi="Calibri"/>
          <w:highlight w:val="cyan"/>
        </w:rPr>
      </w:pPr>
    </w:p>
    <w:p w:rsidR="006E6183" w:rsidRPr="000B4221" w:rsidRDefault="006E6183" w:rsidP="006E6183">
      <w:pPr>
        <w:jc w:val="both"/>
        <w:rPr>
          <w:rFonts w:ascii="Calibri" w:hAnsi="Calibri"/>
          <w:sz w:val="22"/>
          <w:szCs w:val="22"/>
        </w:rPr>
      </w:pPr>
      <w:r w:rsidRPr="000B4221">
        <w:rPr>
          <w:rFonts w:ascii="Calibri" w:hAnsi="Calibri"/>
          <w:sz w:val="22"/>
          <w:szCs w:val="22"/>
        </w:rPr>
        <w:t xml:space="preserve">Im </w:t>
      </w:r>
      <w:r w:rsidRPr="001B4B33">
        <w:rPr>
          <w:rFonts w:ascii="Calibri" w:hAnsi="Calibri"/>
          <w:b/>
          <w:sz w:val="22"/>
          <w:szCs w:val="22"/>
        </w:rPr>
        <w:t xml:space="preserve">Berichtszeitraum </w:t>
      </w:r>
      <w:r w:rsidR="00A37C3B" w:rsidRPr="001B4B33">
        <w:rPr>
          <w:rFonts w:ascii="Calibri" w:hAnsi="Calibri"/>
          <w:b/>
          <w:sz w:val="22"/>
          <w:szCs w:val="22"/>
        </w:rPr>
        <w:t>April/ Mai 2015</w:t>
      </w:r>
      <w:r w:rsidR="00A37C3B">
        <w:rPr>
          <w:rFonts w:ascii="Calibri" w:hAnsi="Calibri"/>
          <w:sz w:val="22"/>
          <w:szCs w:val="22"/>
        </w:rPr>
        <w:t xml:space="preserve"> </w:t>
      </w:r>
      <w:r w:rsidR="00BA2D98" w:rsidRPr="000B4221">
        <w:rPr>
          <w:rFonts w:ascii="Calibri" w:hAnsi="Calibri"/>
          <w:sz w:val="22"/>
          <w:szCs w:val="22"/>
        </w:rPr>
        <w:t>wurde in insgesamt</w:t>
      </w:r>
      <w:r w:rsidR="00937DCF" w:rsidRPr="000B4221">
        <w:rPr>
          <w:rFonts w:ascii="Calibri" w:hAnsi="Calibri"/>
          <w:sz w:val="22"/>
          <w:szCs w:val="22"/>
        </w:rPr>
        <w:t xml:space="preserve"> 24</w:t>
      </w:r>
      <w:r w:rsidR="00BA2D98" w:rsidRPr="000B4221">
        <w:rPr>
          <w:rFonts w:ascii="Calibri" w:hAnsi="Calibri"/>
          <w:sz w:val="22"/>
          <w:szCs w:val="22"/>
        </w:rPr>
        <w:t xml:space="preserve"> Fällen</w:t>
      </w:r>
      <w:r w:rsidR="00937DCF" w:rsidRPr="000B4221">
        <w:rPr>
          <w:rFonts w:ascii="Calibri" w:hAnsi="Calibri"/>
          <w:sz w:val="22"/>
          <w:szCs w:val="22"/>
        </w:rPr>
        <w:t xml:space="preserve"> (5</w:t>
      </w:r>
      <w:r w:rsidRPr="000B4221">
        <w:rPr>
          <w:rFonts w:ascii="Calibri" w:hAnsi="Calibri"/>
          <w:sz w:val="22"/>
          <w:szCs w:val="22"/>
        </w:rPr>
        <w:t xml:space="preserve"> Prozent aller Personen, die in diesem Zeitraum beraten wurden) </w:t>
      </w:r>
      <w:r w:rsidR="00BA2D98" w:rsidRPr="000B4221">
        <w:rPr>
          <w:rFonts w:ascii="Calibri" w:hAnsi="Calibri"/>
          <w:sz w:val="22"/>
          <w:szCs w:val="22"/>
        </w:rPr>
        <w:t>vermerkt, dass es sich bei den Ratsuchenden um</w:t>
      </w:r>
      <w:r w:rsidR="00E703F1">
        <w:rPr>
          <w:rFonts w:ascii="Calibri" w:hAnsi="Calibri"/>
          <w:sz w:val="22"/>
          <w:szCs w:val="22"/>
        </w:rPr>
        <w:t xml:space="preserve"> Flüchtlinge</w:t>
      </w:r>
      <w:r w:rsidR="00BA2D98" w:rsidRPr="000B4221">
        <w:rPr>
          <w:rFonts w:ascii="Calibri" w:hAnsi="Calibri"/>
          <w:sz w:val="22"/>
          <w:szCs w:val="22"/>
        </w:rPr>
        <w:t xml:space="preserve"> handelt</w:t>
      </w:r>
      <w:r w:rsidR="002337F8" w:rsidRPr="000B4221">
        <w:rPr>
          <w:rFonts w:ascii="Calibri" w:hAnsi="Calibri"/>
          <w:sz w:val="22"/>
          <w:szCs w:val="22"/>
        </w:rPr>
        <w:t>e. Die notierten Angaben zu dieser Gruppe zeigten folgendes Bild</w:t>
      </w:r>
      <w:r w:rsidR="00BA2D98" w:rsidRPr="000B4221">
        <w:rPr>
          <w:rFonts w:ascii="Calibri" w:hAnsi="Calibri"/>
          <w:sz w:val="22"/>
          <w:szCs w:val="22"/>
        </w:rPr>
        <w:t xml:space="preserve">: </w:t>
      </w:r>
    </w:p>
    <w:p w:rsidR="006E6183" w:rsidRPr="000B4221" w:rsidRDefault="006E6183" w:rsidP="006E6183">
      <w:pPr>
        <w:jc w:val="both"/>
        <w:rPr>
          <w:rFonts w:ascii="Calibri" w:hAnsi="Calibri"/>
          <w:sz w:val="22"/>
          <w:szCs w:val="22"/>
        </w:rPr>
      </w:pPr>
    </w:p>
    <w:p w:rsidR="006E6183" w:rsidRPr="000B4221" w:rsidRDefault="007456F5" w:rsidP="006E6183">
      <w:pPr>
        <w:pStyle w:val="Listenabsatz"/>
        <w:numPr>
          <w:ilvl w:val="0"/>
          <w:numId w:val="26"/>
        </w:numPr>
        <w:jc w:val="both"/>
        <w:rPr>
          <w:rFonts w:ascii="Calibri" w:hAnsi="Calibri"/>
          <w:sz w:val="22"/>
          <w:szCs w:val="22"/>
        </w:rPr>
      </w:pPr>
      <w:r w:rsidRPr="000B4221">
        <w:rPr>
          <w:rFonts w:ascii="Calibri" w:hAnsi="Calibri"/>
          <w:sz w:val="22"/>
          <w:szCs w:val="22"/>
        </w:rPr>
        <w:t>18</w:t>
      </w:r>
      <w:r w:rsidR="006E6183" w:rsidRPr="000B4221">
        <w:rPr>
          <w:rFonts w:ascii="Calibri" w:hAnsi="Calibri"/>
          <w:sz w:val="22"/>
          <w:szCs w:val="22"/>
        </w:rPr>
        <w:t xml:space="preserve"> der beratenen Flüchtlinge kamen a</w:t>
      </w:r>
      <w:r w:rsidR="00D573CC" w:rsidRPr="000B4221">
        <w:rPr>
          <w:rFonts w:ascii="Calibri" w:hAnsi="Calibri"/>
          <w:sz w:val="22"/>
          <w:szCs w:val="22"/>
        </w:rPr>
        <w:t xml:space="preserve">us Syrien, </w:t>
      </w:r>
      <w:r w:rsidRPr="000B4221">
        <w:rPr>
          <w:rFonts w:ascii="Calibri" w:hAnsi="Calibri"/>
          <w:sz w:val="22"/>
          <w:szCs w:val="22"/>
        </w:rPr>
        <w:t>4</w:t>
      </w:r>
      <w:r w:rsidR="00D573CC" w:rsidRPr="000B4221">
        <w:rPr>
          <w:rFonts w:ascii="Calibri" w:hAnsi="Calibri"/>
          <w:sz w:val="22"/>
          <w:szCs w:val="22"/>
        </w:rPr>
        <w:t xml:space="preserve"> aus</w:t>
      </w:r>
      <w:r w:rsidRPr="000B4221">
        <w:rPr>
          <w:rFonts w:ascii="Calibri" w:hAnsi="Calibri"/>
          <w:sz w:val="22"/>
          <w:szCs w:val="22"/>
        </w:rPr>
        <w:t xml:space="preserve"> dem Iran</w:t>
      </w:r>
      <w:r w:rsidR="00D573CC" w:rsidRPr="000B4221">
        <w:rPr>
          <w:rFonts w:ascii="Calibri" w:hAnsi="Calibri"/>
          <w:sz w:val="22"/>
          <w:szCs w:val="22"/>
        </w:rPr>
        <w:t xml:space="preserve"> </w:t>
      </w:r>
      <w:r w:rsidRPr="000B4221">
        <w:rPr>
          <w:rFonts w:ascii="Calibri" w:hAnsi="Calibri"/>
          <w:sz w:val="22"/>
          <w:szCs w:val="22"/>
        </w:rPr>
        <w:t>und jeweils eine Person aus Pakistan und Tunesien.</w:t>
      </w:r>
    </w:p>
    <w:p w:rsidR="006E6183" w:rsidRPr="000B4221" w:rsidRDefault="007456F5" w:rsidP="006E6183">
      <w:pPr>
        <w:pStyle w:val="Listenabsatz"/>
        <w:numPr>
          <w:ilvl w:val="0"/>
          <w:numId w:val="26"/>
        </w:numPr>
        <w:jc w:val="both"/>
        <w:rPr>
          <w:rFonts w:ascii="Calibri" w:hAnsi="Calibri"/>
          <w:sz w:val="22"/>
          <w:szCs w:val="22"/>
        </w:rPr>
      </w:pPr>
      <w:r w:rsidRPr="000B4221">
        <w:rPr>
          <w:rFonts w:ascii="Calibri" w:hAnsi="Calibri"/>
          <w:sz w:val="22"/>
          <w:szCs w:val="22"/>
        </w:rPr>
        <w:t>20</w:t>
      </w:r>
      <w:r w:rsidR="006E6183" w:rsidRPr="000B4221">
        <w:rPr>
          <w:rFonts w:ascii="Calibri" w:hAnsi="Calibri"/>
          <w:sz w:val="22"/>
          <w:szCs w:val="22"/>
        </w:rPr>
        <w:t xml:space="preserve"> der berat</w:t>
      </w:r>
      <w:r w:rsidRPr="000B4221">
        <w:rPr>
          <w:rFonts w:ascii="Calibri" w:hAnsi="Calibri"/>
          <w:sz w:val="22"/>
          <w:szCs w:val="22"/>
        </w:rPr>
        <w:t xml:space="preserve">enen Flüchtlinge waren männlich, 2 waren weiblich und </w:t>
      </w:r>
      <w:r w:rsidR="00CD2FA7">
        <w:rPr>
          <w:rFonts w:ascii="Calibri" w:hAnsi="Calibri"/>
          <w:sz w:val="22"/>
          <w:szCs w:val="22"/>
        </w:rPr>
        <w:t xml:space="preserve">in </w:t>
      </w:r>
      <w:r w:rsidRPr="000B4221">
        <w:rPr>
          <w:rFonts w:ascii="Calibri" w:hAnsi="Calibri"/>
          <w:sz w:val="22"/>
          <w:szCs w:val="22"/>
        </w:rPr>
        <w:t xml:space="preserve">2 </w:t>
      </w:r>
      <w:r w:rsidR="00CD2FA7">
        <w:rPr>
          <w:rFonts w:ascii="Calibri" w:hAnsi="Calibri"/>
          <w:sz w:val="22"/>
          <w:szCs w:val="22"/>
        </w:rPr>
        <w:t xml:space="preserve">Fällen kamen </w:t>
      </w:r>
      <w:r w:rsidRPr="000B4221">
        <w:rPr>
          <w:rFonts w:ascii="Calibri" w:hAnsi="Calibri"/>
          <w:sz w:val="22"/>
          <w:szCs w:val="22"/>
        </w:rPr>
        <w:t>Familien.</w:t>
      </w:r>
    </w:p>
    <w:p w:rsidR="006E6183" w:rsidRPr="000B4221" w:rsidRDefault="00C61770" w:rsidP="006E6183">
      <w:pPr>
        <w:pStyle w:val="Listenabsatz"/>
        <w:numPr>
          <w:ilvl w:val="0"/>
          <w:numId w:val="26"/>
        </w:numPr>
        <w:jc w:val="both"/>
        <w:rPr>
          <w:rFonts w:ascii="Calibri" w:hAnsi="Calibri"/>
          <w:sz w:val="22"/>
          <w:szCs w:val="22"/>
        </w:rPr>
      </w:pPr>
      <w:r w:rsidRPr="000B4221">
        <w:rPr>
          <w:rFonts w:ascii="Calibri" w:hAnsi="Calibri"/>
          <w:sz w:val="22"/>
          <w:szCs w:val="22"/>
        </w:rPr>
        <w:t>19</w:t>
      </w:r>
      <w:r w:rsidR="006E6183" w:rsidRPr="000B4221">
        <w:rPr>
          <w:rFonts w:ascii="Calibri" w:hAnsi="Calibri"/>
          <w:sz w:val="22"/>
          <w:szCs w:val="22"/>
        </w:rPr>
        <w:t xml:space="preserve"> Flüchtlinge wohnten zum Zeit</w:t>
      </w:r>
      <w:r w:rsidR="005A3A80" w:rsidRPr="000B4221">
        <w:rPr>
          <w:rFonts w:ascii="Calibri" w:hAnsi="Calibri"/>
          <w:sz w:val="22"/>
          <w:szCs w:val="22"/>
        </w:rPr>
        <w:t xml:space="preserve">punkt der Beratung in </w:t>
      </w:r>
      <w:r w:rsidRPr="000B4221">
        <w:rPr>
          <w:rFonts w:ascii="Calibri" w:hAnsi="Calibri"/>
          <w:sz w:val="22"/>
          <w:szCs w:val="22"/>
        </w:rPr>
        <w:t>Stuttgart, zwei Flüchtlinge in der Region Stuttgart und zwei in überregionalen Städten.</w:t>
      </w:r>
    </w:p>
    <w:p w:rsidR="006E6183" w:rsidRPr="000B4221" w:rsidRDefault="005A3A80" w:rsidP="006E6183">
      <w:pPr>
        <w:pStyle w:val="Listenabsatz"/>
        <w:numPr>
          <w:ilvl w:val="0"/>
          <w:numId w:val="26"/>
        </w:numPr>
        <w:jc w:val="both"/>
        <w:rPr>
          <w:rFonts w:ascii="Calibri" w:hAnsi="Calibri"/>
          <w:sz w:val="22"/>
          <w:szCs w:val="22"/>
        </w:rPr>
      </w:pPr>
      <w:r w:rsidRPr="000B4221">
        <w:rPr>
          <w:rFonts w:ascii="Calibri" w:hAnsi="Calibri"/>
          <w:sz w:val="22"/>
          <w:szCs w:val="22"/>
        </w:rPr>
        <w:t xml:space="preserve">Bei </w:t>
      </w:r>
      <w:r w:rsidR="00C61770" w:rsidRPr="000B4221">
        <w:rPr>
          <w:rFonts w:ascii="Calibri" w:hAnsi="Calibri"/>
          <w:sz w:val="22"/>
          <w:szCs w:val="22"/>
        </w:rPr>
        <w:t>circa 45</w:t>
      </w:r>
      <w:r w:rsidR="00D573CC" w:rsidRPr="000B4221">
        <w:rPr>
          <w:rFonts w:ascii="Calibri" w:hAnsi="Calibri"/>
          <w:sz w:val="22"/>
          <w:szCs w:val="22"/>
        </w:rPr>
        <w:t xml:space="preserve"> Prozent der Flüchtlinge</w:t>
      </w:r>
      <w:r w:rsidRPr="000B4221">
        <w:rPr>
          <w:rFonts w:ascii="Calibri" w:hAnsi="Calibri"/>
          <w:sz w:val="22"/>
          <w:szCs w:val="22"/>
        </w:rPr>
        <w:t xml:space="preserve"> wurde</w:t>
      </w:r>
      <w:r w:rsidR="00D573CC" w:rsidRPr="000B4221">
        <w:rPr>
          <w:rFonts w:ascii="Calibri" w:hAnsi="Calibri"/>
          <w:sz w:val="22"/>
          <w:szCs w:val="22"/>
        </w:rPr>
        <w:t xml:space="preserve">n </w:t>
      </w:r>
      <w:r w:rsidRPr="000B4221">
        <w:rPr>
          <w:rFonts w:ascii="Calibri" w:hAnsi="Calibri"/>
          <w:sz w:val="22"/>
          <w:szCs w:val="22"/>
        </w:rPr>
        <w:t>Angabe</w:t>
      </w:r>
      <w:r w:rsidR="00D573CC" w:rsidRPr="000B4221">
        <w:rPr>
          <w:rFonts w:ascii="Calibri" w:hAnsi="Calibri"/>
          <w:sz w:val="22"/>
          <w:szCs w:val="22"/>
        </w:rPr>
        <w:t>n</w:t>
      </w:r>
      <w:r w:rsidRPr="000B4221">
        <w:rPr>
          <w:rFonts w:ascii="Calibri" w:hAnsi="Calibri"/>
          <w:sz w:val="22"/>
          <w:szCs w:val="22"/>
        </w:rPr>
        <w:t xml:space="preserve"> zur beruflich</w:t>
      </w:r>
      <w:r w:rsidR="00D573CC" w:rsidRPr="000B4221">
        <w:rPr>
          <w:rFonts w:ascii="Calibri" w:hAnsi="Calibri"/>
          <w:sz w:val="22"/>
          <w:szCs w:val="22"/>
        </w:rPr>
        <w:t>en Qualifikation vermerkt. Bei 3</w:t>
      </w:r>
      <w:r w:rsidRPr="000B4221">
        <w:rPr>
          <w:rFonts w:ascii="Calibri" w:hAnsi="Calibri"/>
          <w:sz w:val="22"/>
          <w:szCs w:val="22"/>
        </w:rPr>
        <w:t xml:space="preserve"> Flüchtlingen wurde notiert,</w:t>
      </w:r>
      <w:r w:rsidR="00C61770" w:rsidRPr="000B4221">
        <w:rPr>
          <w:rFonts w:ascii="Calibri" w:hAnsi="Calibri"/>
          <w:sz w:val="22"/>
          <w:szCs w:val="22"/>
        </w:rPr>
        <w:t xml:space="preserve"> dass sie Studierende sind.</w:t>
      </w:r>
      <w:r w:rsidRPr="000B4221">
        <w:rPr>
          <w:rFonts w:ascii="Calibri" w:hAnsi="Calibri"/>
          <w:sz w:val="22"/>
          <w:szCs w:val="22"/>
        </w:rPr>
        <w:t xml:space="preserve"> Bei </w:t>
      </w:r>
      <w:r w:rsidR="00C61770" w:rsidRPr="000B4221">
        <w:rPr>
          <w:rFonts w:ascii="Calibri" w:hAnsi="Calibri"/>
          <w:sz w:val="22"/>
          <w:szCs w:val="22"/>
        </w:rPr>
        <w:t xml:space="preserve">jeweils </w:t>
      </w:r>
      <w:r w:rsidRPr="000B4221">
        <w:rPr>
          <w:rFonts w:ascii="Calibri" w:hAnsi="Calibri"/>
          <w:sz w:val="22"/>
          <w:szCs w:val="22"/>
        </w:rPr>
        <w:t xml:space="preserve">zwei weiteren Personen wurde festgehalten, dass </w:t>
      </w:r>
      <w:r w:rsidR="00837235">
        <w:rPr>
          <w:rFonts w:ascii="Calibri" w:hAnsi="Calibri"/>
          <w:sz w:val="22"/>
          <w:szCs w:val="22"/>
        </w:rPr>
        <w:t xml:space="preserve">sie einen Hochschulabschluss </w:t>
      </w:r>
      <w:r w:rsidR="00CD2FA7">
        <w:rPr>
          <w:rFonts w:ascii="Calibri" w:hAnsi="Calibri"/>
          <w:sz w:val="22"/>
          <w:szCs w:val="22"/>
        </w:rPr>
        <w:t>haben</w:t>
      </w:r>
      <w:r w:rsidR="00C61770" w:rsidRPr="000B4221">
        <w:rPr>
          <w:rFonts w:ascii="Calibri" w:hAnsi="Calibri"/>
          <w:sz w:val="22"/>
          <w:szCs w:val="22"/>
        </w:rPr>
        <w:t xml:space="preserve"> und in technischen Berufen tätig sind</w:t>
      </w:r>
      <w:r w:rsidRPr="000B4221">
        <w:rPr>
          <w:rFonts w:ascii="Calibri" w:hAnsi="Calibri"/>
          <w:sz w:val="22"/>
          <w:szCs w:val="22"/>
        </w:rPr>
        <w:t>.</w:t>
      </w:r>
      <w:r w:rsidR="00D573CC" w:rsidRPr="000B4221">
        <w:rPr>
          <w:rFonts w:ascii="Calibri" w:hAnsi="Calibri"/>
          <w:sz w:val="22"/>
          <w:szCs w:val="22"/>
        </w:rPr>
        <w:t xml:space="preserve"> Bei</w:t>
      </w:r>
      <w:r w:rsidR="00837235">
        <w:rPr>
          <w:rFonts w:ascii="Calibri" w:hAnsi="Calibri"/>
          <w:sz w:val="22"/>
          <w:szCs w:val="22"/>
        </w:rPr>
        <w:t xml:space="preserve"> jeweils einem Flüchtling wurde</w:t>
      </w:r>
      <w:r w:rsidR="00D573CC" w:rsidRPr="000B4221">
        <w:rPr>
          <w:rFonts w:ascii="Calibri" w:hAnsi="Calibri"/>
          <w:sz w:val="22"/>
          <w:szCs w:val="22"/>
        </w:rPr>
        <w:t xml:space="preserve"> </w:t>
      </w:r>
      <w:r w:rsidR="00CD2FA7">
        <w:rPr>
          <w:rFonts w:ascii="Calibri" w:hAnsi="Calibri"/>
          <w:sz w:val="22"/>
          <w:szCs w:val="22"/>
        </w:rPr>
        <w:t>„sozialer Beruf“</w:t>
      </w:r>
      <w:r w:rsidR="00C61770" w:rsidRPr="000B4221">
        <w:rPr>
          <w:rFonts w:ascii="Calibri" w:hAnsi="Calibri"/>
          <w:sz w:val="22"/>
          <w:szCs w:val="22"/>
        </w:rPr>
        <w:t xml:space="preserve">, </w:t>
      </w:r>
      <w:r w:rsidR="00CD2FA7">
        <w:rPr>
          <w:rFonts w:ascii="Calibri" w:hAnsi="Calibri"/>
          <w:sz w:val="22"/>
          <w:szCs w:val="22"/>
        </w:rPr>
        <w:t>„</w:t>
      </w:r>
      <w:r w:rsidR="00C61770" w:rsidRPr="000B4221">
        <w:rPr>
          <w:rFonts w:ascii="Calibri" w:hAnsi="Calibri"/>
          <w:sz w:val="22"/>
          <w:szCs w:val="22"/>
        </w:rPr>
        <w:t>naturwissenschaftliche</w:t>
      </w:r>
      <w:r w:rsidR="00CD2FA7">
        <w:rPr>
          <w:rFonts w:ascii="Calibri" w:hAnsi="Calibri"/>
          <w:sz w:val="22"/>
          <w:szCs w:val="22"/>
        </w:rPr>
        <w:t>r Beruf“</w:t>
      </w:r>
      <w:r w:rsidR="00C61770" w:rsidRPr="000B4221">
        <w:rPr>
          <w:rFonts w:ascii="Calibri" w:hAnsi="Calibri"/>
          <w:sz w:val="22"/>
          <w:szCs w:val="22"/>
        </w:rPr>
        <w:t xml:space="preserve">, </w:t>
      </w:r>
      <w:r w:rsidR="00CD2FA7">
        <w:rPr>
          <w:rFonts w:ascii="Calibri" w:hAnsi="Calibri"/>
          <w:sz w:val="22"/>
          <w:szCs w:val="22"/>
        </w:rPr>
        <w:t>„</w:t>
      </w:r>
      <w:r w:rsidR="00C61770" w:rsidRPr="000B4221">
        <w:rPr>
          <w:rFonts w:ascii="Calibri" w:hAnsi="Calibri"/>
          <w:sz w:val="22"/>
          <w:szCs w:val="22"/>
        </w:rPr>
        <w:t>künstlerische</w:t>
      </w:r>
      <w:r w:rsidR="00CD2FA7">
        <w:rPr>
          <w:rFonts w:ascii="Calibri" w:hAnsi="Calibri"/>
          <w:sz w:val="22"/>
          <w:szCs w:val="22"/>
        </w:rPr>
        <w:t>r Beruf“</w:t>
      </w:r>
      <w:r w:rsidR="00C61770" w:rsidRPr="000B4221">
        <w:rPr>
          <w:rFonts w:ascii="Calibri" w:hAnsi="Calibri"/>
          <w:sz w:val="22"/>
          <w:szCs w:val="22"/>
        </w:rPr>
        <w:t xml:space="preserve"> und </w:t>
      </w:r>
      <w:r w:rsidR="00CD2FA7">
        <w:rPr>
          <w:rFonts w:ascii="Calibri" w:hAnsi="Calibri"/>
          <w:sz w:val="22"/>
          <w:szCs w:val="22"/>
        </w:rPr>
        <w:t>„</w:t>
      </w:r>
      <w:r w:rsidR="00C61770" w:rsidRPr="000B4221">
        <w:rPr>
          <w:rFonts w:ascii="Calibri" w:hAnsi="Calibri"/>
          <w:sz w:val="22"/>
          <w:szCs w:val="22"/>
        </w:rPr>
        <w:t>Abitur</w:t>
      </w:r>
      <w:r w:rsidR="00CD2FA7">
        <w:rPr>
          <w:rFonts w:ascii="Calibri" w:hAnsi="Calibri"/>
          <w:sz w:val="22"/>
          <w:szCs w:val="22"/>
        </w:rPr>
        <w:t>“</w:t>
      </w:r>
      <w:r w:rsidR="00C61770" w:rsidRPr="000B4221">
        <w:rPr>
          <w:rFonts w:ascii="Calibri" w:hAnsi="Calibri"/>
          <w:sz w:val="22"/>
          <w:szCs w:val="22"/>
        </w:rPr>
        <w:t xml:space="preserve"> notiert.</w:t>
      </w:r>
    </w:p>
    <w:p w:rsidR="002337F8" w:rsidRDefault="00C61770" w:rsidP="002337F8">
      <w:pPr>
        <w:pStyle w:val="Listenabsatz"/>
        <w:numPr>
          <w:ilvl w:val="0"/>
          <w:numId w:val="26"/>
        </w:numPr>
        <w:jc w:val="both"/>
        <w:rPr>
          <w:rFonts w:ascii="Calibri" w:hAnsi="Calibri"/>
          <w:sz w:val="22"/>
          <w:szCs w:val="22"/>
        </w:rPr>
      </w:pPr>
      <w:r w:rsidRPr="000B4221">
        <w:rPr>
          <w:rFonts w:ascii="Calibri" w:hAnsi="Calibri"/>
          <w:sz w:val="22"/>
          <w:szCs w:val="22"/>
        </w:rPr>
        <w:t>Drei</w:t>
      </w:r>
      <w:r w:rsidR="002337F8" w:rsidRPr="000B4221">
        <w:rPr>
          <w:rFonts w:ascii="Calibri" w:hAnsi="Calibri"/>
          <w:sz w:val="22"/>
          <w:szCs w:val="22"/>
        </w:rPr>
        <w:t xml:space="preserve"> Flüchtlinge ließen sich zu den </w:t>
      </w:r>
      <w:r w:rsidR="00E8170C" w:rsidRPr="000B4221">
        <w:rPr>
          <w:rFonts w:ascii="Calibri" w:hAnsi="Calibri"/>
          <w:sz w:val="22"/>
          <w:szCs w:val="22"/>
        </w:rPr>
        <w:t>Themen „Arbeit“</w:t>
      </w:r>
      <w:r w:rsidR="00CD2FA7">
        <w:rPr>
          <w:rFonts w:ascii="Calibri" w:hAnsi="Calibri"/>
          <w:sz w:val="22"/>
          <w:szCs w:val="22"/>
        </w:rPr>
        <w:t xml:space="preserve"> (</w:t>
      </w:r>
      <w:r w:rsidR="00921C87" w:rsidRPr="000B4221">
        <w:rPr>
          <w:rFonts w:ascii="Calibri" w:hAnsi="Calibri"/>
          <w:sz w:val="22"/>
          <w:szCs w:val="22"/>
        </w:rPr>
        <w:t>Arbeit</w:t>
      </w:r>
      <w:r w:rsidR="00CD2FA7">
        <w:rPr>
          <w:rFonts w:ascii="Calibri" w:hAnsi="Calibri"/>
          <w:sz w:val="22"/>
          <w:szCs w:val="22"/>
        </w:rPr>
        <w:t xml:space="preserve">ssuche bzw. </w:t>
      </w:r>
      <w:r w:rsidR="00921C87" w:rsidRPr="000B4221">
        <w:rPr>
          <w:rFonts w:ascii="Calibri" w:hAnsi="Calibri"/>
          <w:sz w:val="22"/>
          <w:szCs w:val="22"/>
        </w:rPr>
        <w:t>Ausbildungsmöglichkeiten)</w:t>
      </w:r>
      <w:r w:rsidR="00E8170C" w:rsidRPr="000B4221">
        <w:rPr>
          <w:rFonts w:ascii="Calibri" w:hAnsi="Calibri"/>
          <w:sz w:val="22"/>
          <w:szCs w:val="22"/>
        </w:rPr>
        <w:t xml:space="preserve"> beraten. </w:t>
      </w:r>
      <w:r w:rsidRPr="000B4221">
        <w:rPr>
          <w:rFonts w:ascii="Calibri" w:hAnsi="Calibri"/>
          <w:sz w:val="22"/>
          <w:szCs w:val="22"/>
        </w:rPr>
        <w:t>Zwei Flüchtlinge ließen sich zum Thema „Studium und Ausbildung“ be</w:t>
      </w:r>
      <w:r w:rsidR="00921731">
        <w:rPr>
          <w:rFonts w:ascii="Calibri" w:hAnsi="Calibri"/>
          <w:sz w:val="22"/>
          <w:szCs w:val="22"/>
        </w:rPr>
        <w:t xml:space="preserve">raten. Acht Flüchtlinge stellten </w:t>
      </w:r>
      <w:r w:rsidRPr="000B4221">
        <w:rPr>
          <w:rFonts w:ascii="Calibri" w:hAnsi="Calibri"/>
          <w:sz w:val="22"/>
          <w:szCs w:val="22"/>
        </w:rPr>
        <w:t>Fragen zum Thema „Le</w:t>
      </w:r>
      <w:r w:rsidR="00921731">
        <w:rPr>
          <w:rFonts w:ascii="Calibri" w:hAnsi="Calibri"/>
          <w:sz w:val="22"/>
          <w:szCs w:val="22"/>
        </w:rPr>
        <w:t>ben“ und zwei Flüch</w:t>
      </w:r>
      <w:r w:rsidR="003C6301">
        <w:rPr>
          <w:rFonts w:ascii="Calibri" w:hAnsi="Calibri"/>
          <w:sz w:val="22"/>
          <w:szCs w:val="22"/>
        </w:rPr>
        <w:t>tlinge</w:t>
      </w:r>
      <w:r w:rsidR="00921731">
        <w:rPr>
          <w:rFonts w:ascii="Calibri" w:hAnsi="Calibri"/>
          <w:sz w:val="22"/>
          <w:szCs w:val="22"/>
        </w:rPr>
        <w:t xml:space="preserve"> erkundigten sich nach </w:t>
      </w:r>
      <w:r w:rsidR="00CD2FA7">
        <w:rPr>
          <w:rFonts w:ascii="Calibri" w:hAnsi="Calibri"/>
          <w:sz w:val="22"/>
          <w:szCs w:val="22"/>
        </w:rPr>
        <w:t>Informatio</w:t>
      </w:r>
      <w:r w:rsidR="00921731">
        <w:rPr>
          <w:rFonts w:ascii="Calibri" w:hAnsi="Calibri"/>
          <w:sz w:val="22"/>
          <w:szCs w:val="22"/>
        </w:rPr>
        <w:t>nen zum Spracherwerb. Im Gegensatz zu den vorangegangen Quartalen stellte im April/ Mai kein Flüchtling Fragen zum</w:t>
      </w:r>
      <w:r w:rsidRPr="000B4221">
        <w:rPr>
          <w:rFonts w:ascii="Calibri" w:hAnsi="Calibri"/>
          <w:sz w:val="22"/>
          <w:szCs w:val="22"/>
        </w:rPr>
        <w:t xml:space="preserve"> </w:t>
      </w:r>
      <w:r w:rsidR="00921731">
        <w:rPr>
          <w:rFonts w:ascii="Calibri" w:hAnsi="Calibri"/>
          <w:sz w:val="22"/>
          <w:szCs w:val="22"/>
        </w:rPr>
        <w:t>„Aufenthaltsrecht“</w:t>
      </w:r>
      <w:r w:rsidRPr="000B4221">
        <w:rPr>
          <w:rFonts w:ascii="Calibri" w:hAnsi="Calibri"/>
          <w:sz w:val="22"/>
          <w:szCs w:val="22"/>
        </w:rPr>
        <w:t>.</w:t>
      </w:r>
    </w:p>
    <w:p w:rsidR="00180CF5" w:rsidRDefault="00180CF5" w:rsidP="00180CF5">
      <w:pPr>
        <w:jc w:val="both"/>
        <w:rPr>
          <w:rFonts w:ascii="Calibri" w:hAnsi="Calibri"/>
          <w:sz w:val="22"/>
          <w:szCs w:val="22"/>
        </w:rPr>
      </w:pPr>
    </w:p>
    <w:p w:rsidR="00180CF5" w:rsidRPr="009D598A" w:rsidRDefault="00180CF5" w:rsidP="00180CF5">
      <w:pPr>
        <w:jc w:val="both"/>
        <w:rPr>
          <w:rFonts w:ascii="Calibri" w:hAnsi="Calibri"/>
          <w:i/>
          <w:sz w:val="22"/>
          <w:szCs w:val="22"/>
        </w:rPr>
      </w:pPr>
      <w:r>
        <w:rPr>
          <w:rFonts w:ascii="Calibri" w:hAnsi="Calibri"/>
          <w:sz w:val="22"/>
          <w:szCs w:val="22"/>
        </w:rPr>
        <w:t>Der Anteil der Flüchtlinge an den Ratsuchenden machte zwar auch in den Monaten April und Mai 2015 nur 5 Prozent aus, allerdings ist der Anteil kontinuierlich gestiegen von 2 Prozent im vierten Quartal 2014, auf 2,6 Prozent im ersten Quartal 2015 und dann vergleichsweise stark auf 5 Prozent im April/ Mai 2015.</w:t>
      </w:r>
      <w:r w:rsidR="00421AC6">
        <w:rPr>
          <w:rFonts w:ascii="Calibri" w:hAnsi="Calibri"/>
          <w:sz w:val="22"/>
          <w:szCs w:val="22"/>
        </w:rPr>
        <w:t xml:space="preserve"> Flüchtlinge aus Syrien stellten über den gesamten Zeitraum nicht nur die größte Gruppe, sondern auch die einzige Gruppe, die</w:t>
      </w:r>
      <w:r w:rsidR="009E2412">
        <w:rPr>
          <w:rFonts w:ascii="Calibri" w:hAnsi="Calibri"/>
          <w:sz w:val="22"/>
          <w:szCs w:val="22"/>
        </w:rPr>
        <w:t xml:space="preserve"> </w:t>
      </w:r>
      <w:r w:rsidR="00421AC6">
        <w:rPr>
          <w:rFonts w:ascii="Calibri" w:hAnsi="Calibri"/>
          <w:sz w:val="22"/>
          <w:szCs w:val="22"/>
        </w:rPr>
        <w:t xml:space="preserve">in allen drei ausgewerteten Zeiträumen </w:t>
      </w:r>
      <w:r w:rsidR="009E2412">
        <w:rPr>
          <w:rFonts w:ascii="Calibri" w:hAnsi="Calibri"/>
          <w:sz w:val="22"/>
          <w:szCs w:val="22"/>
        </w:rPr>
        <w:t>das Welcome Center aufsuchte.</w:t>
      </w:r>
      <w:r w:rsidR="009D598A">
        <w:rPr>
          <w:rFonts w:ascii="Calibri" w:hAnsi="Calibri"/>
          <w:sz w:val="22"/>
          <w:szCs w:val="22"/>
        </w:rPr>
        <w:t xml:space="preserve"> </w:t>
      </w:r>
      <w:r w:rsidR="009D598A" w:rsidRPr="009D598A">
        <w:rPr>
          <w:rFonts w:ascii="Calibri" w:hAnsi="Calibri"/>
          <w:i/>
          <w:sz w:val="22"/>
          <w:szCs w:val="22"/>
        </w:rPr>
        <w:t>(Anm.: Vor April 2015 wurden Flüchtlinge als Ratsuchende nicht immer erfasst.)</w:t>
      </w:r>
    </w:p>
    <w:p w:rsidR="00180CF5" w:rsidRPr="009D598A" w:rsidRDefault="00180CF5" w:rsidP="00180CF5">
      <w:pPr>
        <w:jc w:val="both"/>
        <w:rPr>
          <w:rFonts w:ascii="Calibri" w:hAnsi="Calibri"/>
          <w:i/>
          <w:sz w:val="22"/>
          <w:szCs w:val="22"/>
        </w:rPr>
      </w:pPr>
    </w:p>
    <w:p w:rsidR="00281053" w:rsidRDefault="00281053" w:rsidP="00E3377F">
      <w:pPr>
        <w:jc w:val="both"/>
        <w:rPr>
          <w:rFonts w:ascii="Calibri" w:hAnsi="Calibri"/>
          <w:sz w:val="22"/>
          <w:szCs w:val="22"/>
        </w:rPr>
      </w:pPr>
    </w:p>
    <w:p w:rsidR="00874106" w:rsidRPr="000B4221" w:rsidRDefault="00874106" w:rsidP="00874106">
      <w:pPr>
        <w:jc w:val="both"/>
        <w:rPr>
          <w:rFonts w:ascii="Calibri" w:hAnsi="Calibri"/>
          <w:b/>
        </w:rPr>
      </w:pPr>
      <w:r w:rsidRPr="000B4221">
        <w:rPr>
          <w:rFonts w:ascii="Calibri" w:hAnsi="Calibri"/>
          <w:b/>
        </w:rPr>
        <w:t>Berufs</w:t>
      </w:r>
      <w:r w:rsidR="007E440B" w:rsidRPr="000B4221">
        <w:rPr>
          <w:rFonts w:ascii="Calibri" w:hAnsi="Calibri"/>
          <w:b/>
        </w:rPr>
        <w:t>(-abschluss)</w:t>
      </w:r>
      <w:r w:rsidRPr="000B4221">
        <w:rPr>
          <w:rFonts w:ascii="Calibri" w:hAnsi="Calibri"/>
          <w:b/>
        </w:rPr>
        <w:t xml:space="preserve">gruppen: </w:t>
      </w:r>
      <w:r w:rsidR="00143A92" w:rsidRPr="005568FC">
        <w:rPr>
          <w:rFonts w:ascii="Calibri" w:hAnsi="Calibri"/>
          <w:i/>
          <w:sz w:val="22"/>
          <w:szCs w:val="22"/>
        </w:rPr>
        <w:t>(siehe dazu auch Tabelle</w:t>
      </w:r>
      <w:r w:rsidR="00DF2707" w:rsidRPr="005568FC">
        <w:rPr>
          <w:rFonts w:ascii="Calibri" w:hAnsi="Calibri"/>
          <w:i/>
          <w:sz w:val="22"/>
          <w:szCs w:val="22"/>
        </w:rPr>
        <w:t xml:space="preserve"> 2</w:t>
      </w:r>
      <w:r w:rsidR="001B4B33">
        <w:rPr>
          <w:rFonts w:ascii="Calibri" w:hAnsi="Calibri"/>
          <w:i/>
          <w:sz w:val="22"/>
          <w:szCs w:val="22"/>
        </w:rPr>
        <w:t xml:space="preserve"> </w:t>
      </w:r>
      <w:r w:rsidR="00143A92" w:rsidRPr="005568FC">
        <w:rPr>
          <w:rFonts w:ascii="Calibri" w:hAnsi="Calibri"/>
          <w:i/>
          <w:sz w:val="22"/>
          <w:szCs w:val="22"/>
        </w:rPr>
        <w:t xml:space="preserve"> im Anhang)</w:t>
      </w:r>
    </w:p>
    <w:p w:rsidR="00874106" w:rsidRPr="000B4221" w:rsidRDefault="00874106" w:rsidP="00874106">
      <w:pPr>
        <w:jc w:val="both"/>
        <w:rPr>
          <w:rFonts w:ascii="Calibri" w:hAnsi="Calibri"/>
          <w:b/>
          <w:sz w:val="22"/>
          <w:szCs w:val="22"/>
        </w:rPr>
      </w:pPr>
    </w:p>
    <w:p w:rsidR="004D0325" w:rsidRDefault="001B4B33" w:rsidP="00E3377F">
      <w:pPr>
        <w:jc w:val="both"/>
        <w:rPr>
          <w:rFonts w:ascii="Calibri" w:hAnsi="Calibri"/>
          <w:sz w:val="22"/>
          <w:szCs w:val="22"/>
        </w:rPr>
      </w:pPr>
      <w:r w:rsidRPr="001B4B33">
        <w:rPr>
          <w:rFonts w:ascii="Calibri" w:hAnsi="Calibri"/>
          <w:sz w:val="22"/>
          <w:szCs w:val="22"/>
        </w:rPr>
        <w:t>I</w:t>
      </w:r>
      <w:r w:rsidR="00E741E7" w:rsidRPr="001B4B33">
        <w:rPr>
          <w:rFonts w:ascii="Calibri" w:hAnsi="Calibri"/>
          <w:sz w:val="22"/>
          <w:szCs w:val="22"/>
        </w:rPr>
        <w:t xml:space="preserve">m Zeitraum </w:t>
      </w:r>
      <w:r w:rsidR="00DF2707" w:rsidRPr="001B4B33">
        <w:rPr>
          <w:rFonts w:ascii="Calibri" w:hAnsi="Calibri"/>
          <w:sz w:val="22"/>
          <w:szCs w:val="22"/>
        </w:rPr>
        <w:t xml:space="preserve">2. </w:t>
      </w:r>
      <w:r w:rsidR="00E741E7" w:rsidRPr="001B4B33">
        <w:rPr>
          <w:rFonts w:ascii="Calibri" w:hAnsi="Calibri"/>
          <w:sz w:val="22"/>
          <w:szCs w:val="22"/>
        </w:rPr>
        <w:t xml:space="preserve">Oktober 2014 bis </w:t>
      </w:r>
      <w:r w:rsidR="004D0325" w:rsidRPr="001B4B33">
        <w:rPr>
          <w:rFonts w:ascii="Calibri" w:hAnsi="Calibri"/>
          <w:sz w:val="22"/>
          <w:szCs w:val="22"/>
        </w:rPr>
        <w:t xml:space="preserve">29. </w:t>
      </w:r>
      <w:r w:rsidR="00E741E7" w:rsidRPr="001B4B33">
        <w:rPr>
          <w:rFonts w:ascii="Calibri" w:hAnsi="Calibri"/>
          <w:sz w:val="22"/>
          <w:szCs w:val="22"/>
        </w:rPr>
        <w:t>Mai 2015</w:t>
      </w:r>
      <w:r w:rsidR="00E741E7">
        <w:rPr>
          <w:rFonts w:ascii="Calibri" w:hAnsi="Calibri"/>
          <w:sz w:val="22"/>
          <w:szCs w:val="22"/>
        </w:rPr>
        <w:t xml:space="preserve"> </w:t>
      </w:r>
      <w:r>
        <w:rPr>
          <w:rFonts w:ascii="Calibri" w:hAnsi="Calibri"/>
          <w:sz w:val="22"/>
          <w:szCs w:val="22"/>
        </w:rPr>
        <w:t xml:space="preserve">bildeten </w:t>
      </w:r>
      <w:r w:rsidR="00E741E7">
        <w:rPr>
          <w:rFonts w:ascii="Calibri" w:hAnsi="Calibri"/>
          <w:sz w:val="22"/>
          <w:szCs w:val="22"/>
        </w:rPr>
        <w:t xml:space="preserve">Fachkräfte </w:t>
      </w:r>
      <w:r w:rsidR="00DF7BEC">
        <w:rPr>
          <w:rFonts w:ascii="Calibri" w:hAnsi="Calibri"/>
          <w:sz w:val="22"/>
          <w:szCs w:val="22"/>
        </w:rPr>
        <w:t>im Gesundheitswesen</w:t>
      </w:r>
      <w:r w:rsidR="004D0325">
        <w:rPr>
          <w:rFonts w:ascii="Calibri" w:hAnsi="Calibri"/>
          <w:sz w:val="22"/>
          <w:szCs w:val="22"/>
        </w:rPr>
        <w:t xml:space="preserve"> mit 118 Personen</w:t>
      </w:r>
      <w:r w:rsidR="00DF7BEC">
        <w:rPr>
          <w:rFonts w:ascii="Calibri" w:hAnsi="Calibri"/>
          <w:sz w:val="22"/>
          <w:szCs w:val="22"/>
        </w:rPr>
        <w:t xml:space="preserve"> die am stärksten vertretene Berufs(-</w:t>
      </w:r>
      <w:proofErr w:type="spellStart"/>
      <w:r w:rsidR="00DF7BEC">
        <w:rPr>
          <w:rFonts w:ascii="Calibri" w:hAnsi="Calibri"/>
          <w:sz w:val="22"/>
          <w:szCs w:val="22"/>
        </w:rPr>
        <w:t>abschluss</w:t>
      </w:r>
      <w:proofErr w:type="spellEnd"/>
      <w:r w:rsidR="00DF7BEC">
        <w:rPr>
          <w:rFonts w:ascii="Calibri" w:hAnsi="Calibri"/>
          <w:sz w:val="22"/>
          <w:szCs w:val="22"/>
        </w:rPr>
        <w:t xml:space="preserve">)gruppe unter den Ratsuchenden, gefolgt von </w:t>
      </w:r>
      <w:r w:rsidR="00245044">
        <w:rPr>
          <w:rFonts w:ascii="Calibri" w:hAnsi="Calibri"/>
          <w:sz w:val="22"/>
          <w:szCs w:val="22"/>
        </w:rPr>
        <w:t>Ingenieurinnen und Ingenieuren</w:t>
      </w:r>
      <w:r w:rsidR="004D0325">
        <w:rPr>
          <w:rFonts w:ascii="Calibri" w:hAnsi="Calibri"/>
          <w:sz w:val="22"/>
          <w:szCs w:val="22"/>
        </w:rPr>
        <w:t xml:space="preserve"> mit 82 Personen</w:t>
      </w:r>
      <w:r w:rsidR="00DF7BEC">
        <w:rPr>
          <w:rFonts w:ascii="Calibri" w:hAnsi="Calibri"/>
          <w:sz w:val="22"/>
          <w:szCs w:val="22"/>
        </w:rPr>
        <w:t xml:space="preserve"> (wobei diese Gruppe im April/ Mai 2015 deutlich zurückgegangen ist) und Bachelor- sowie Masters</w:t>
      </w:r>
      <w:r w:rsidR="00AB0006">
        <w:rPr>
          <w:rFonts w:ascii="Calibri" w:hAnsi="Calibri"/>
          <w:sz w:val="22"/>
          <w:szCs w:val="22"/>
        </w:rPr>
        <w:t>tudierenden</w:t>
      </w:r>
      <w:r w:rsidR="004D0325">
        <w:rPr>
          <w:rFonts w:ascii="Calibri" w:hAnsi="Calibri"/>
          <w:sz w:val="22"/>
          <w:szCs w:val="22"/>
        </w:rPr>
        <w:t xml:space="preserve"> mit insgesamt 79 Personen</w:t>
      </w:r>
      <w:r w:rsidR="00AB0006">
        <w:rPr>
          <w:rFonts w:ascii="Calibri" w:hAnsi="Calibri"/>
          <w:sz w:val="22"/>
          <w:szCs w:val="22"/>
        </w:rPr>
        <w:t xml:space="preserve">. </w:t>
      </w:r>
      <w:r w:rsidR="004D0325">
        <w:rPr>
          <w:rFonts w:ascii="Calibri" w:hAnsi="Calibri"/>
          <w:sz w:val="22"/>
          <w:szCs w:val="22"/>
        </w:rPr>
        <w:t>Bei 84 Ratsuchenden wurde vermerkt, dass sie einen Studienabschluss haben, allerdings ohne die Fachrichtung zu verzeichnen. Drei weitere Berufsgruppen umfassten mehr als 50 Ratsuchende: 62 Personen hatten einen Beruf im sozialen Bereich, 61 Personen im technischen Bereich und 59 P</w:t>
      </w:r>
      <w:r w:rsidR="0046325F">
        <w:rPr>
          <w:rFonts w:ascii="Calibri" w:hAnsi="Calibri"/>
          <w:sz w:val="22"/>
          <w:szCs w:val="22"/>
        </w:rPr>
        <w:t xml:space="preserve">ersonen waren im Handwerk </w:t>
      </w:r>
      <w:proofErr w:type="gramStart"/>
      <w:r w:rsidR="0046325F">
        <w:rPr>
          <w:rFonts w:ascii="Calibri" w:hAnsi="Calibri"/>
          <w:sz w:val="22"/>
          <w:szCs w:val="22"/>
        </w:rPr>
        <w:t>tätig .</w:t>
      </w:r>
      <w:proofErr w:type="gramEnd"/>
    </w:p>
    <w:p w:rsidR="004D0325" w:rsidRDefault="004D0325" w:rsidP="00E3377F">
      <w:pPr>
        <w:jc w:val="both"/>
        <w:rPr>
          <w:rFonts w:ascii="Calibri" w:hAnsi="Calibri"/>
          <w:sz w:val="22"/>
          <w:szCs w:val="22"/>
        </w:rPr>
      </w:pPr>
    </w:p>
    <w:p w:rsidR="007467E0" w:rsidRDefault="00892A03" w:rsidP="00E3377F">
      <w:pPr>
        <w:jc w:val="both"/>
        <w:rPr>
          <w:rFonts w:ascii="Calibri" w:hAnsi="Calibri"/>
          <w:sz w:val="22"/>
          <w:szCs w:val="22"/>
        </w:rPr>
      </w:pPr>
      <w:r>
        <w:rPr>
          <w:rFonts w:ascii="Calibri" w:hAnsi="Calibri"/>
          <w:sz w:val="22"/>
          <w:szCs w:val="22"/>
        </w:rPr>
        <w:t>Im Hinblick auf die Herkunftsländer ließ sich kein Trend dahingehend erkennen, dass Ratsuchende unterschiedlicher Berufs(-abschluss)gruppen besonders häufig aus bestimmten Herkunftsländern kommen. Demgegenüber waren über alle Quartale spezifische Berufs(-abschluss)gruppen nach Geschlecht klar unterschiedlich verteilt: Bei den ratsuchenden Frauen dominierten Berufe im Gesundheitswesen, im sozialen Bereich, in den Feldern Psychologie, Architektur, Betriebswirtschaft und Jura. Bei den ratsuchenden Männern waren v.a. handwerkliche, technische und ingenieurwissenschaftliche Berufe sowie Tätigkeiten im IT-Wesen und der Gastronomie stark vertreten.</w:t>
      </w:r>
    </w:p>
    <w:p w:rsidR="00071881" w:rsidRDefault="00071881" w:rsidP="00E3377F">
      <w:pPr>
        <w:jc w:val="both"/>
        <w:rPr>
          <w:rFonts w:ascii="Calibri" w:hAnsi="Calibri"/>
          <w:sz w:val="22"/>
          <w:szCs w:val="22"/>
        </w:rPr>
      </w:pPr>
    </w:p>
    <w:p w:rsidR="00281053" w:rsidRPr="00C64498" w:rsidRDefault="00281053" w:rsidP="00E3377F">
      <w:pPr>
        <w:jc w:val="both"/>
        <w:rPr>
          <w:rFonts w:ascii="Calibri" w:hAnsi="Calibri"/>
          <w:sz w:val="22"/>
          <w:szCs w:val="22"/>
        </w:rPr>
      </w:pPr>
    </w:p>
    <w:p w:rsidR="00E14150" w:rsidRPr="000B4221" w:rsidRDefault="007D486B" w:rsidP="00E3377F">
      <w:pPr>
        <w:jc w:val="both"/>
        <w:rPr>
          <w:rFonts w:ascii="Calibri" w:hAnsi="Calibri"/>
          <w:b/>
        </w:rPr>
      </w:pPr>
      <w:r w:rsidRPr="000B4221">
        <w:rPr>
          <w:rFonts w:ascii="Calibri" w:hAnsi="Calibri"/>
          <w:b/>
        </w:rPr>
        <w:t>Inhalte und Details</w:t>
      </w:r>
      <w:r w:rsidR="00634133" w:rsidRPr="000B4221">
        <w:rPr>
          <w:rFonts w:ascii="Calibri" w:hAnsi="Calibri"/>
          <w:b/>
        </w:rPr>
        <w:t xml:space="preserve"> der Anfragen</w:t>
      </w:r>
      <w:r w:rsidR="0028790F" w:rsidRPr="000B4221">
        <w:rPr>
          <w:rFonts w:ascii="Calibri" w:hAnsi="Calibri"/>
          <w:b/>
        </w:rPr>
        <w:t>:</w:t>
      </w:r>
      <w:r w:rsidR="00143A92" w:rsidRPr="000B4221">
        <w:rPr>
          <w:rFonts w:ascii="Calibri" w:hAnsi="Calibri"/>
          <w:b/>
        </w:rPr>
        <w:t xml:space="preserve"> </w:t>
      </w:r>
      <w:r w:rsidR="00143A92" w:rsidRPr="00432DCE">
        <w:rPr>
          <w:rFonts w:ascii="Calibri" w:hAnsi="Calibri"/>
          <w:i/>
          <w:sz w:val="22"/>
          <w:szCs w:val="22"/>
        </w:rPr>
        <w:t>(siehe dazu auch Abbildung</w:t>
      </w:r>
      <w:r w:rsidR="00910F73" w:rsidRPr="00432DCE">
        <w:rPr>
          <w:rFonts w:ascii="Calibri" w:hAnsi="Calibri"/>
          <w:i/>
          <w:sz w:val="22"/>
          <w:szCs w:val="22"/>
        </w:rPr>
        <w:t xml:space="preserve"> </w:t>
      </w:r>
      <w:r w:rsidR="00963CAE">
        <w:rPr>
          <w:rFonts w:ascii="Calibri" w:hAnsi="Calibri"/>
          <w:i/>
          <w:sz w:val="22"/>
          <w:szCs w:val="22"/>
        </w:rPr>
        <w:t>5</w:t>
      </w:r>
      <w:r w:rsidR="00143A92" w:rsidRPr="00432DCE">
        <w:rPr>
          <w:rFonts w:ascii="Calibri" w:hAnsi="Calibri"/>
          <w:i/>
          <w:sz w:val="22"/>
          <w:szCs w:val="22"/>
        </w:rPr>
        <w:t xml:space="preserve"> im Anhang)</w:t>
      </w:r>
    </w:p>
    <w:p w:rsidR="00B16310" w:rsidRPr="004D0325" w:rsidRDefault="00B16310" w:rsidP="00E3377F">
      <w:pPr>
        <w:jc w:val="both"/>
        <w:rPr>
          <w:rFonts w:ascii="Calibri" w:hAnsi="Calibri"/>
          <w:b/>
          <w:sz w:val="22"/>
          <w:szCs w:val="22"/>
        </w:rPr>
      </w:pPr>
    </w:p>
    <w:p w:rsidR="005F7D2A" w:rsidRPr="00A37083" w:rsidRDefault="00A37083" w:rsidP="000E7D85">
      <w:pPr>
        <w:tabs>
          <w:tab w:val="left" w:pos="6435"/>
        </w:tabs>
        <w:jc w:val="both"/>
        <w:rPr>
          <w:rFonts w:ascii="Calibri" w:hAnsi="Calibri"/>
          <w:sz w:val="22"/>
          <w:szCs w:val="22"/>
        </w:rPr>
      </w:pPr>
      <w:r w:rsidRPr="00DD0069">
        <w:rPr>
          <w:rFonts w:ascii="Calibri" w:hAnsi="Calibri"/>
          <w:b/>
          <w:sz w:val="22"/>
          <w:szCs w:val="22"/>
        </w:rPr>
        <w:t>In allen ausgewerteten Quartalen</w:t>
      </w:r>
      <w:r>
        <w:rPr>
          <w:rFonts w:ascii="Calibri" w:hAnsi="Calibri"/>
          <w:sz w:val="22"/>
          <w:szCs w:val="22"/>
        </w:rPr>
        <w:t xml:space="preserve"> dominierten Anfragen zu den Themen „Sprache“ und „Arbeit“, wenngleich ein leichter Rückgang der Anfragen zu diesen Themen erkennbar ist, von 65 Prozent aller Anfragen im vierten Quartal 2014 auf 62 Prozent im ersten Quartal 2015 und 60,5 Prozent im April/</w:t>
      </w:r>
      <w:r w:rsidR="0046325F">
        <w:rPr>
          <w:rFonts w:ascii="Calibri" w:hAnsi="Calibri"/>
          <w:sz w:val="22"/>
          <w:szCs w:val="22"/>
        </w:rPr>
        <w:t xml:space="preserve"> </w:t>
      </w:r>
      <w:r>
        <w:rPr>
          <w:rFonts w:ascii="Calibri" w:hAnsi="Calibri"/>
          <w:sz w:val="22"/>
          <w:szCs w:val="22"/>
        </w:rPr>
        <w:t>Mai 2015.</w:t>
      </w:r>
      <w:r w:rsidR="00B11BDF">
        <w:rPr>
          <w:rFonts w:ascii="Calibri" w:hAnsi="Calibri"/>
          <w:sz w:val="22"/>
          <w:szCs w:val="22"/>
        </w:rPr>
        <w:t xml:space="preserve"> Vergleicht man diese beiden Themen, stellt man fest, dass Anfragen zum Thema „Sprache“ leicht rückläufig sind, während Anfragen zum Thema „Arbeit“ an Dominanz gewinnen und im April/</w:t>
      </w:r>
      <w:r w:rsidR="0046325F">
        <w:rPr>
          <w:rFonts w:ascii="Calibri" w:hAnsi="Calibri"/>
          <w:sz w:val="22"/>
          <w:szCs w:val="22"/>
        </w:rPr>
        <w:t xml:space="preserve"> </w:t>
      </w:r>
      <w:r w:rsidR="00B11BDF">
        <w:rPr>
          <w:rFonts w:ascii="Calibri" w:hAnsi="Calibri"/>
          <w:sz w:val="22"/>
          <w:szCs w:val="22"/>
        </w:rPr>
        <w:t>Mai zum ersten Mal mit 127 Anfragen</w:t>
      </w:r>
      <w:r w:rsidR="0077296D">
        <w:rPr>
          <w:rFonts w:ascii="Calibri" w:hAnsi="Calibri"/>
          <w:sz w:val="22"/>
          <w:szCs w:val="22"/>
        </w:rPr>
        <w:t xml:space="preserve"> minimal </w:t>
      </w:r>
      <w:r w:rsidR="00B11BDF">
        <w:rPr>
          <w:rFonts w:ascii="Calibri" w:hAnsi="Calibri"/>
          <w:sz w:val="22"/>
          <w:szCs w:val="22"/>
        </w:rPr>
        <w:t>vor sprachbezogenen Anfragen lagen, welche 126 Mal verzeichnet wurden.</w:t>
      </w:r>
      <w:r w:rsidR="00D55872">
        <w:rPr>
          <w:rFonts w:ascii="Calibri" w:hAnsi="Calibri"/>
          <w:sz w:val="22"/>
          <w:szCs w:val="22"/>
        </w:rPr>
        <w:t xml:space="preserve"> Das nächstwichtigste Thema waren über den gesamten Berichtszeitraum Anfragen zum „Leben in Deutschland/ Stuttgart“</w:t>
      </w:r>
      <w:r w:rsidR="00062CA7">
        <w:rPr>
          <w:rFonts w:ascii="Calibri" w:hAnsi="Calibri"/>
          <w:sz w:val="22"/>
          <w:szCs w:val="22"/>
        </w:rPr>
        <w:t xml:space="preserve"> (16 Prozent aller Anfragen im vierten Quartal 2014, 19 Prozent im ersten Quartal 2015 und 20 Prozent im April/</w:t>
      </w:r>
      <w:r w:rsidR="00DD0069">
        <w:rPr>
          <w:rFonts w:ascii="Calibri" w:hAnsi="Calibri"/>
          <w:sz w:val="22"/>
          <w:szCs w:val="22"/>
        </w:rPr>
        <w:t xml:space="preserve"> </w:t>
      </w:r>
      <w:r w:rsidR="00062CA7">
        <w:rPr>
          <w:rFonts w:ascii="Calibri" w:hAnsi="Calibri"/>
          <w:sz w:val="22"/>
          <w:szCs w:val="22"/>
        </w:rPr>
        <w:t>Mai 2015)</w:t>
      </w:r>
      <w:r w:rsidR="00D55872">
        <w:rPr>
          <w:rFonts w:ascii="Calibri" w:hAnsi="Calibri"/>
          <w:sz w:val="22"/>
          <w:szCs w:val="22"/>
        </w:rPr>
        <w:t>, wobei in allen Quartalen Fragen zur Wohnungssuche im Mittelpunkt standen.</w:t>
      </w:r>
      <w:r w:rsidR="009D20F8">
        <w:rPr>
          <w:rFonts w:ascii="Calibri" w:hAnsi="Calibri"/>
          <w:sz w:val="22"/>
          <w:szCs w:val="22"/>
        </w:rPr>
        <w:t xml:space="preserve"> Über alle Quartale hinweg richteten sich 10 Prozent der Anfragen auf aufenthaltsrechtliche Fragen, v.a. zu den Bereichen Aufenthaltserlaubnis und Familiennachzug. Ebenfalls konstant war in allen Quartalen, dass sich die Ratsuchenden am seltensten nach Informationen zum Studium </w:t>
      </w:r>
      <w:r w:rsidR="0046325F">
        <w:rPr>
          <w:rFonts w:ascii="Calibri" w:hAnsi="Calibri"/>
          <w:sz w:val="22"/>
          <w:szCs w:val="22"/>
        </w:rPr>
        <w:t xml:space="preserve">bzw. zur Ausbildung erkundigten: </w:t>
      </w:r>
      <w:r w:rsidR="009D20F8">
        <w:rPr>
          <w:rFonts w:ascii="Calibri" w:hAnsi="Calibri"/>
          <w:sz w:val="22"/>
          <w:szCs w:val="22"/>
        </w:rPr>
        <w:t>jeweils 8 Prozent im vierten Quartal 2014 und im ersten Quartal 2015 und 6,4 Prozent im April/</w:t>
      </w:r>
      <w:r w:rsidR="00A317F4">
        <w:rPr>
          <w:rFonts w:ascii="Calibri" w:hAnsi="Calibri"/>
          <w:sz w:val="22"/>
          <w:szCs w:val="22"/>
        </w:rPr>
        <w:t xml:space="preserve"> </w:t>
      </w:r>
      <w:r w:rsidR="0046325F">
        <w:rPr>
          <w:rFonts w:ascii="Calibri" w:hAnsi="Calibri"/>
          <w:sz w:val="22"/>
          <w:szCs w:val="22"/>
        </w:rPr>
        <w:t>Mai 2015</w:t>
      </w:r>
      <w:r w:rsidR="009D20F8">
        <w:rPr>
          <w:rFonts w:ascii="Calibri" w:hAnsi="Calibri"/>
          <w:sz w:val="22"/>
          <w:szCs w:val="22"/>
        </w:rPr>
        <w:t>.</w:t>
      </w:r>
    </w:p>
    <w:p w:rsidR="004D0325" w:rsidRPr="00E8170C" w:rsidRDefault="004D0325" w:rsidP="000E7D85">
      <w:pPr>
        <w:tabs>
          <w:tab w:val="left" w:pos="6435"/>
        </w:tabs>
        <w:jc w:val="both"/>
        <w:rPr>
          <w:rFonts w:ascii="Calibri" w:hAnsi="Calibri"/>
          <w:sz w:val="22"/>
          <w:szCs w:val="22"/>
          <w:highlight w:val="red"/>
        </w:rPr>
      </w:pPr>
    </w:p>
    <w:p w:rsidR="005E3722" w:rsidRDefault="00673982" w:rsidP="00E3377F">
      <w:pPr>
        <w:jc w:val="both"/>
        <w:rPr>
          <w:rFonts w:ascii="Calibri" w:hAnsi="Calibri"/>
          <w:sz w:val="22"/>
          <w:szCs w:val="22"/>
        </w:rPr>
      </w:pPr>
      <w:r w:rsidRPr="000A7AFB">
        <w:rPr>
          <w:rFonts w:ascii="Calibri" w:hAnsi="Calibri"/>
          <w:b/>
          <w:sz w:val="22"/>
          <w:szCs w:val="22"/>
        </w:rPr>
        <w:t xml:space="preserve">Der Vergleich der Serviceleistungen im Zeitraum </w:t>
      </w:r>
      <w:r w:rsidR="009E4EE1" w:rsidRPr="000A7AFB">
        <w:rPr>
          <w:rFonts w:ascii="Calibri" w:hAnsi="Calibri"/>
          <w:b/>
          <w:sz w:val="22"/>
          <w:szCs w:val="22"/>
        </w:rPr>
        <w:t xml:space="preserve">2. </w:t>
      </w:r>
      <w:r w:rsidRPr="000A7AFB">
        <w:rPr>
          <w:rFonts w:ascii="Calibri" w:hAnsi="Calibri"/>
          <w:b/>
          <w:sz w:val="22"/>
          <w:szCs w:val="22"/>
        </w:rPr>
        <w:t xml:space="preserve">Oktober 2014 bis </w:t>
      </w:r>
      <w:r w:rsidR="009E4EE1" w:rsidRPr="000A7AFB">
        <w:rPr>
          <w:rFonts w:ascii="Calibri" w:hAnsi="Calibri"/>
          <w:b/>
          <w:sz w:val="22"/>
          <w:szCs w:val="22"/>
        </w:rPr>
        <w:t xml:space="preserve">30. </w:t>
      </w:r>
      <w:r w:rsidRPr="000A7AFB">
        <w:rPr>
          <w:rFonts w:ascii="Calibri" w:hAnsi="Calibri"/>
          <w:b/>
          <w:sz w:val="22"/>
          <w:szCs w:val="22"/>
        </w:rPr>
        <w:t>April 2015</w:t>
      </w:r>
      <w:r w:rsidRPr="009E4EE1">
        <w:rPr>
          <w:rFonts w:ascii="Calibri" w:hAnsi="Calibri"/>
          <w:sz w:val="22"/>
          <w:szCs w:val="22"/>
        </w:rPr>
        <w:t xml:space="preserve"> illustrierte,</w:t>
      </w:r>
      <w:r w:rsidR="009E4EE1">
        <w:rPr>
          <w:rFonts w:ascii="Calibri" w:hAnsi="Calibri"/>
          <w:sz w:val="22"/>
          <w:szCs w:val="22"/>
        </w:rPr>
        <w:t xml:space="preserve"> dass insgesamt entsprechend der Anfragen die meisten Beratungen (846) zum Thema </w:t>
      </w:r>
      <w:r w:rsidR="009E4EE1" w:rsidRPr="000A7AFB">
        <w:rPr>
          <w:rFonts w:ascii="Calibri" w:hAnsi="Calibri"/>
          <w:sz w:val="22"/>
          <w:szCs w:val="22"/>
          <w:u w:val="single"/>
        </w:rPr>
        <w:t>„Sprach- und Integrationskurse“</w:t>
      </w:r>
      <w:r w:rsidR="009E4EE1">
        <w:rPr>
          <w:rFonts w:ascii="Calibri" w:hAnsi="Calibri"/>
          <w:sz w:val="22"/>
          <w:szCs w:val="22"/>
        </w:rPr>
        <w:t xml:space="preserve"> erfolgten. Obwohl hier insgesamt der größte Beratungsbedarf bestand, zeigt sich über die Monate hinweg ein kontinuierlicher Rückgang der </w:t>
      </w:r>
      <w:r w:rsidR="00C03642">
        <w:rPr>
          <w:rFonts w:ascii="Calibri" w:hAnsi="Calibri"/>
          <w:sz w:val="22"/>
          <w:szCs w:val="22"/>
        </w:rPr>
        <w:t xml:space="preserve">verzeichneten </w:t>
      </w:r>
      <w:r w:rsidR="009E4EE1">
        <w:rPr>
          <w:rFonts w:ascii="Calibri" w:hAnsi="Calibri"/>
          <w:sz w:val="22"/>
          <w:szCs w:val="22"/>
        </w:rPr>
        <w:t xml:space="preserve">Beratungen zu diesem Thema: So machten im vierten Quartal 2014 Sprach- und Integrationskurse 45 Prozent aller thematischen Beratungen aus, aber nur noch 40 Prozent im ersten Quartal 2015, mit einem noch deutlicheren Rückgang im </w:t>
      </w:r>
      <w:r w:rsidR="00C03642">
        <w:rPr>
          <w:rFonts w:ascii="Calibri" w:hAnsi="Calibri"/>
          <w:sz w:val="22"/>
          <w:szCs w:val="22"/>
        </w:rPr>
        <w:t>April 2015 auf nur noch 28 Prozent.</w:t>
      </w:r>
      <w:r w:rsidR="004B7B51">
        <w:rPr>
          <w:rFonts w:ascii="Calibri" w:hAnsi="Calibri"/>
          <w:sz w:val="22"/>
          <w:szCs w:val="22"/>
        </w:rPr>
        <w:t xml:space="preserve"> </w:t>
      </w:r>
    </w:p>
    <w:p w:rsidR="005E3722" w:rsidRDefault="005E3722" w:rsidP="00E3377F">
      <w:pPr>
        <w:jc w:val="both"/>
        <w:rPr>
          <w:rFonts w:ascii="Calibri" w:hAnsi="Calibri"/>
          <w:sz w:val="22"/>
          <w:szCs w:val="22"/>
        </w:rPr>
      </w:pPr>
    </w:p>
    <w:p w:rsidR="0020446D" w:rsidRDefault="004B7B51" w:rsidP="00E3377F">
      <w:pPr>
        <w:jc w:val="both"/>
        <w:rPr>
          <w:rFonts w:ascii="Calibri" w:hAnsi="Calibri"/>
          <w:sz w:val="22"/>
          <w:szCs w:val="22"/>
        </w:rPr>
      </w:pPr>
      <w:r>
        <w:rPr>
          <w:rFonts w:ascii="Calibri" w:hAnsi="Calibri"/>
          <w:sz w:val="22"/>
          <w:szCs w:val="22"/>
        </w:rPr>
        <w:t xml:space="preserve">Am zweithäufigsten (685 Mal) berieten die Mitarbeiter/innen die Ratsuchenden zu Fragen um das Thema </w:t>
      </w:r>
      <w:r w:rsidRPr="000A7AFB">
        <w:rPr>
          <w:rFonts w:ascii="Calibri" w:hAnsi="Calibri"/>
          <w:sz w:val="22"/>
          <w:szCs w:val="22"/>
          <w:u w:val="single"/>
        </w:rPr>
        <w:t>„Arbeit“.</w:t>
      </w:r>
      <w:r>
        <w:rPr>
          <w:rFonts w:ascii="Calibri" w:hAnsi="Calibri"/>
          <w:sz w:val="22"/>
          <w:szCs w:val="22"/>
        </w:rPr>
        <w:t xml:space="preserve"> Im Zeitverlauf zeigte sich hier, dass arbeitsbezogene Beratungen gegenüber sprachbezogenen an Gewicht gewinnen und im April zum ersten Mal an erster Stelle standen. Die Entwicklung über die ausgewerteten Zeiträume war wie folgt: Im vierten Quartal 2014 machten arbeitsbezogene Beratungen 27 Prozent aller Beratungen aus, im ersten Quartal 2015 erfolgte ein starker Zuwachs auf 36 Prozent und im April 2015 wieder ein Rückgang auf 30 Prozent.</w:t>
      </w:r>
    </w:p>
    <w:p w:rsidR="005E3722" w:rsidRDefault="005E3722" w:rsidP="00E3377F">
      <w:pPr>
        <w:jc w:val="both"/>
        <w:rPr>
          <w:rFonts w:ascii="Calibri" w:hAnsi="Calibri"/>
          <w:sz w:val="22"/>
          <w:szCs w:val="22"/>
        </w:rPr>
      </w:pPr>
    </w:p>
    <w:p w:rsidR="005E3722" w:rsidRDefault="005E3722" w:rsidP="00E3377F">
      <w:pPr>
        <w:jc w:val="both"/>
        <w:rPr>
          <w:rFonts w:ascii="Calibri" w:hAnsi="Calibri"/>
          <w:sz w:val="22"/>
          <w:szCs w:val="22"/>
        </w:rPr>
      </w:pPr>
      <w:r w:rsidRPr="000A7AFB">
        <w:rPr>
          <w:rFonts w:ascii="Calibri" w:hAnsi="Calibri"/>
          <w:sz w:val="22"/>
          <w:szCs w:val="22"/>
          <w:u w:val="single"/>
        </w:rPr>
        <w:t>Aufenthaltsrechtliche Beratungen</w:t>
      </w:r>
      <w:r>
        <w:rPr>
          <w:rFonts w:ascii="Calibri" w:hAnsi="Calibri"/>
          <w:sz w:val="22"/>
          <w:szCs w:val="22"/>
        </w:rPr>
        <w:t xml:space="preserve"> wurden in 238 Fällen gegeben, damit stehen diese zwar bzgl. der Häufigkeit an dritter Stelle, aber mit einem großen Abstand zu den Themen Sprache und Arbeit. </w:t>
      </w:r>
      <w:r w:rsidR="00937B5E">
        <w:rPr>
          <w:rFonts w:ascii="Calibri" w:hAnsi="Calibri"/>
          <w:sz w:val="22"/>
          <w:szCs w:val="22"/>
        </w:rPr>
        <w:t>Aufgrund der Zunahme des Anteils der Drittstaatsangehörigen an den Ratsuchenden, welche v.a. im Monat April festzustellen war, ist auch der Anteil der aufenthaltsrechtlichen Beratungen angestiegen, von knapp 11 Prozent im Zeitraum Oktober 2014 bis März 2015 auf 15 Prozent im April 2015.</w:t>
      </w:r>
    </w:p>
    <w:p w:rsidR="0014666E" w:rsidRDefault="0014666E" w:rsidP="00E3377F">
      <w:pPr>
        <w:jc w:val="both"/>
        <w:rPr>
          <w:rFonts w:ascii="Calibri" w:hAnsi="Calibri"/>
          <w:sz w:val="22"/>
          <w:szCs w:val="22"/>
        </w:rPr>
      </w:pPr>
    </w:p>
    <w:p w:rsidR="0014666E" w:rsidRDefault="0014666E" w:rsidP="00E3377F">
      <w:pPr>
        <w:jc w:val="both"/>
        <w:rPr>
          <w:rFonts w:ascii="Calibri" w:hAnsi="Calibri"/>
          <w:sz w:val="22"/>
          <w:szCs w:val="22"/>
        </w:rPr>
      </w:pPr>
      <w:r w:rsidRPr="000A7AFB">
        <w:rPr>
          <w:rFonts w:ascii="Calibri" w:hAnsi="Calibri"/>
          <w:sz w:val="22"/>
          <w:szCs w:val="22"/>
          <w:u w:val="single"/>
        </w:rPr>
        <w:t>Allgemeine Beratungen</w:t>
      </w:r>
      <w:r w:rsidR="00542F9F">
        <w:rPr>
          <w:rFonts w:ascii="Calibri" w:hAnsi="Calibri"/>
          <w:sz w:val="22"/>
          <w:szCs w:val="22"/>
        </w:rPr>
        <w:t xml:space="preserve"> (zu schwerpunktmäßig nachfolgenden Themen: </w:t>
      </w:r>
      <w:r w:rsidR="00542F9F" w:rsidRPr="000B4221">
        <w:rPr>
          <w:rFonts w:ascii="Calibri" w:hAnsi="Calibri"/>
          <w:sz w:val="22"/>
          <w:szCs w:val="22"/>
        </w:rPr>
        <w:t>Kinderbetreuung, Führerschein/ Kfz-Anmeldung, Gesundheitssystem/ Krankenversicherung, soziale Kontakte und Einreiseinformationen</w:t>
      </w:r>
      <w:r w:rsidR="00542F9F">
        <w:rPr>
          <w:rFonts w:ascii="Calibri" w:hAnsi="Calibri"/>
          <w:sz w:val="22"/>
          <w:szCs w:val="22"/>
        </w:rPr>
        <w:t>)</w:t>
      </w:r>
      <w:r>
        <w:rPr>
          <w:rFonts w:ascii="Calibri" w:hAnsi="Calibri"/>
          <w:sz w:val="22"/>
          <w:szCs w:val="22"/>
        </w:rPr>
        <w:t xml:space="preserve"> erfolgten in 198 Fällen, wobei bei diesen Beratungen v.a. auffällt, dass sie im April sprunghaft zugenommen haben, von jeweils ca. 8 Prozent im vierten Quartal 2014 und im ersten Quartal 2015 auf 21 Prozent im Monat April.</w:t>
      </w:r>
    </w:p>
    <w:p w:rsidR="00673982" w:rsidRDefault="00673982" w:rsidP="00E3377F">
      <w:pPr>
        <w:jc w:val="both"/>
        <w:rPr>
          <w:rFonts w:ascii="Calibri" w:hAnsi="Calibri"/>
          <w:sz w:val="22"/>
          <w:szCs w:val="22"/>
        </w:rPr>
      </w:pPr>
    </w:p>
    <w:p w:rsidR="00673982" w:rsidRDefault="0035349E" w:rsidP="00E3377F">
      <w:pPr>
        <w:jc w:val="both"/>
        <w:rPr>
          <w:rFonts w:ascii="Calibri" w:hAnsi="Calibri"/>
          <w:sz w:val="22"/>
          <w:szCs w:val="22"/>
        </w:rPr>
      </w:pPr>
      <w:r>
        <w:rPr>
          <w:rFonts w:ascii="Calibri" w:hAnsi="Calibri"/>
          <w:sz w:val="22"/>
          <w:szCs w:val="22"/>
        </w:rPr>
        <w:t xml:space="preserve">Beratungen zur </w:t>
      </w:r>
      <w:r w:rsidRPr="000A7AFB">
        <w:rPr>
          <w:rFonts w:ascii="Calibri" w:hAnsi="Calibri"/>
          <w:sz w:val="22"/>
          <w:szCs w:val="22"/>
          <w:u w:val="single"/>
        </w:rPr>
        <w:t>Wohnungssuche</w:t>
      </w:r>
      <w:r>
        <w:rPr>
          <w:rFonts w:ascii="Calibri" w:hAnsi="Calibri"/>
          <w:sz w:val="22"/>
          <w:szCs w:val="22"/>
        </w:rPr>
        <w:t xml:space="preserve"> unterlagen nur leichten Schwankungen und bewegten sich zwischen 9 Prozent aller Beratungen im Zeitraum Oktober bis Dezember 2014 und 5,5 Prozent im Zeitfenster Januar bis März 2015.</w:t>
      </w:r>
    </w:p>
    <w:p w:rsidR="002D5408" w:rsidRDefault="002D5408" w:rsidP="002D5408">
      <w:pPr>
        <w:pStyle w:val="Kommentartext"/>
      </w:pPr>
    </w:p>
    <w:p w:rsidR="002D5408" w:rsidRDefault="000A7AFB" w:rsidP="00E3377F">
      <w:pPr>
        <w:jc w:val="both"/>
        <w:rPr>
          <w:rFonts w:ascii="Calibri" w:hAnsi="Calibri"/>
          <w:sz w:val="22"/>
          <w:szCs w:val="22"/>
        </w:rPr>
      </w:pPr>
      <w:r>
        <w:rPr>
          <w:rFonts w:ascii="Calibri" w:hAnsi="Calibri"/>
          <w:sz w:val="22"/>
          <w:szCs w:val="22"/>
        </w:rPr>
        <w:t>Ein erheblicher</w:t>
      </w:r>
      <w:r w:rsidR="006C7BC5">
        <w:rPr>
          <w:rFonts w:ascii="Calibri" w:hAnsi="Calibri"/>
          <w:sz w:val="22"/>
          <w:szCs w:val="22"/>
        </w:rPr>
        <w:t xml:space="preserve"> Anteil der Serviceleistungen bestand im gesam</w:t>
      </w:r>
      <w:r>
        <w:rPr>
          <w:rFonts w:ascii="Calibri" w:hAnsi="Calibri"/>
          <w:sz w:val="22"/>
          <w:szCs w:val="22"/>
        </w:rPr>
        <w:t xml:space="preserve">ten ausgewerteten Zeitraum </w:t>
      </w:r>
      <w:r w:rsidR="006C7BC5">
        <w:rPr>
          <w:rFonts w:ascii="Calibri" w:hAnsi="Calibri"/>
          <w:sz w:val="22"/>
          <w:szCs w:val="22"/>
        </w:rPr>
        <w:t xml:space="preserve">aus der </w:t>
      </w:r>
      <w:r w:rsidR="006C7BC5" w:rsidRPr="000A7AFB">
        <w:rPr>
          <w:rFonts w:ascii="Calibri" w:hAnsi="Calibri"/>
          <w:sz w:val="22"/>
          <w:szCs w:val="22"/>
          <w:u w:val="single"/>
        </w:rPr>
        <w:t>Vermittlung der Ratsuchenden an spezifische Beratungsstellen</w:t>
      </w:r>
      <w:r w:rsidR="006C7BC5">
        <w:rPr>
          <w:rFonts w:ascii="Calibri" w:hAnsi="Calibri"/>
          <w:sz w:val="22"/>
          <w:szCs w:val="22"/>
        </w:rPr>
        <w:t xml:space="preserve">. Aufgrund von vorgenommenen </w:t>
      </w:r>
      <w:r w:rsidR="006C7BC5">
        <w:rPr>
          <w:rFonts w:ascii="Calibri" w:hAnsi="Calibri"/>
          <w:sz w:val="22"/>
          <w:szCs w:val="22"/>
        </w:rPr>
        <w:lastRenderedPageBreak/>
        <w:t>Veränderungen an der Datenmaske sowie sich im Lauf der Zeit ausdifferenzierender Eingabeverfahren kann die Entwicklung der Vermittlungsberatung nur bedingt nachgezeichnet werden, so ist v.a. der sprunghafte Anstieg dieser Beratungsform im Monat Mai auf die neue Datenmaske, die diese Kategorie vertiefend erfasst, zurückzuführen.</w:t>
      </w:r>
      <w:r w:rsidR="00773FD3">
        <w:rPr>
          <w:rFonts w:ascii="Calibri" w:hAnsi="Calibri"/>
          <w:sz w:val="22"/>
          <w:szCs w:val="22"/>
        </w:rPr>
        <w:t xml:space="preserve"> Die vorliegenden Daten ergeben folgendes Bild der erfolgten Vermittlungsberatungen: 109 im vierten Quartal 2014, 206 im ersten Quartal 2015, 101 im April 2015 und 223 im Mai 2015.</w:t>
      </w:r>
      <w:r w:rsidR="000706A6">
        <w:rPr>
          <w:rFonts w:ascii="Calibri" w:hAnsi="Calibri"/>
          <w:sz w:val="22"/>
          <w:szCs w:val="22"/>
        </w:rPr>
        <w:t xml:space="preserve"> Da detaillierte Angaben nur für den Monat Mai vorliegen, soll anhand der dort verzeichneten Einrichtungen, an die Ratsuchende weitervermittelt wurden, illustriert werden, an welche Einrichtungen die Vermittlungen in erster Linie erfolgten. </w:t>
      </w:r>
      <w:r w:rsidR="0014574A">
        <w:rPr>
          <w:rFonts w:ascii="Calibri" w:hAnsi="Calibri"/>
          <w:sz w:val="22"/>
          <w:szCs w:val="22"/>
        </w:rPr>
        <w:t>Von den 223 Vermittlungsberatungen im Mai bezogen sich fast 30 Prozent (66 Fälle) auf Sprachkursträger, gute 11 Prozent (24 Fälle) auf die Agentur für Arbeit sowie fast 6 Prozent (13 Fälle) auf die Jobcenter</w:t>
      </w:r>
      <w:r>
        <w:rPr>
          <w:rFonts w:ascii="Calibri" w:hAnsi="Calibri"/>
          <w:sz w:val="22"/>
          <w:szCs w:val="22"/>
        </w:rPr>
        <w:t>. Elf Personen (</w:t>
      </w:r>
      <w:r w:rsidR="00921C3C">
        <w:rPr>
          <w:rFonts w:ascii="Calibri" w:hAnsi="Calibri"/>
          <w:sz w:val="22"/>
          <w:szCs w:val="22"/>
        </w:rPr>
        <w:t>5 Prozent</w:t>
      </w:r>
      <w:r>
        <w:rPr>
          <w:rFonts w:ascii="Calibri" w:hAnsi="Calibri"/>
          <w:sz w:val="22"/>
          <w:szCs w:val="22"/>
        </w:rPr>
        <w:t>)</w:t>
      </w:r>
      <w:r w:rsidR="00921C3C">
        <w:rPr>
          <w:rFonts w:ascii="Calibri" w:hAnsi="Calibri"/>
          <w:sz w:val="22"/>
          <w:szCs w:val="22"/>
        </w:rPr>
        <w:t xml:space="preserve"> wurden an die Ausländerbehörde weitervermittelt, 7 Personen (3 Prozent) an freie Wohlfahrtsträger, jeweils 4 Personen (2 Prozent) an ein Bürgerbüro, einen Sport-/ Kulturverein und an die IHK. Sechs Personen wurden an Stellen zur Anerkennung ausländischer Berufsabschlüsse vermittelt und jeweils zwei Personen an das Wohnungsamt bzw. Jugendamt.</w:t>
      </w:r>
    </w:p>
    <w:p w:rsidR="00A317F4" w:rsidRDefault="00A317F4" w:rsidP="00E3377F">
      <w:pPr>
        <w:jc w:val="both"/>
        <w:rPr>
          <w:rFonts w:ascii="Calibri" w:hAnsi="Calibri"/>
          <w:sz w:val="22"/>
          <w:szCs w:val="22"/>
        </w:rPr>
      </w:pPr>
    </w:p>
    <w:p w:rsidR="00A317F4" w:rsidRDefault="00A317F4" w:rsidP="00E3377F">
      <w:pPr>
        <w:jc w:val="both"/>
        <w:rPr>
          <w:rFonts w:ascii="Calibri" w:hAnsi="Calibri"/>
          <w:sz w:val="22"/>
          <w:szCs w:val="22"/>
        </w:rPr>
      </w:pPr>
    </w:p>
    <w:p w:rsidR="00105DAA" w:rsidRPr="00AC4E1B" w:rsidRDefault="00105DAA" w:rsidP="00105DAA">
      <w:pPr>
        <w:jc w:val="both"/>
        <w:rPr>
          <w:rFonts w:ascii="Calibri" w:hAnsi="Calibri"/>
          <w:b/>
          <w:i/>
          <w:sz w:val="28"/>
          <w:szCs w:val="28"/>
        </w:rPr>
      </w:pPr>
      <w:r w:rsidRPr="00AC4E1B">
        <w:rPr>
          <w:rFonts w:ascii="Calibri" w:hAnsi="Calibri"/>
          <w:b/>
          <w:i/>
          <w:sz w:val="28"/>
          <w:szCs w:val="28"/>
        </w:rPr>
        <w:t>Anhang:</w:t>
      </w:r>
      <w:r>
        <w:rPr>
          <w:rFonts w:ascii="Calibri" w:hAnsi="Calibri"/>
          <w:b/>
          <w:i/>
          <w:sz w:val="28"/>
          <w:szCs w:val="28"/>
        </w:rPr>
        <w:t xml:space="preserve"> Tabellen und Abbildungen</w:t>
      </w:r>
    </w:p>
    <w:p w:rsidR="00105DAA" w:rsidRDefault="00105DAA" w:rsidP="00105DAA">
      <w:pPr>
        <w:jc w:val="both"/>
        <w:rPr>
          <w:rFonts w:ascii="Calibri" w:hAnsi="Calibri"/>
          <w:sz w:val="22"/>
          <w:szCs w:val="22"/>
        </w:rPr>
      </w:pPr>
    </w:p>
    <w:p w:rsidR="00105DAA" w:rsidRPr="004F34E7" w:rsidRDefault="00105DAA" w:rsidP="00105DAA">
      <w:pPr>
        <w:rPr>
          <w:rFonts w:ascii="Calibri" w:hAnsi="Calibri"/>
        </w:rPr>
      </w:pPr>
    </w:p>
    <w:p w:rsidR="000B4221" w:rsidRPr="004F34E7" w:rsidRDefault="000B4221" w:rsidP="00105DAA">
      <w:pPr>
        <w:jc w:val="both"/>
        <w:rPr>
          <w:rFonts w:ascii="Calibri" w:hAnsi="Calibri"/>
          <w:sz w:val="22"/>
          <w:szCs w:val="22"/>
        </w:rPr>
      </w:pPr>
    </w:p>
    <w:p w:rsidR="0049423E" w:rsidRPr="008056AB" w:rsidRDefault="00F42546" w:rsidP="0049423E">
      <w:pPr>
        <w:contextualSpacing/>
        <w:jc w:val="both"/>
        <w:rPr>
          <w:rFonts w:ascii="Calibri" w:hAnsi="Calibri"/>
          <w:b/>
          <w:i/>
          <w:sz w:val="22"/>
          <w:szCs w:val="22"/>
        </w:rPr>
      </w:pPr>
      <w:r>
        <w:rPr>
          <w:rFonts w:ascii="Calibri" w:hAnsi="Calibri"/>
          <w:b/>
          <w:i/>
        </w:rPr>
        <w:t>T</w:t>
      </w:r>
      <w:r w:rsidR="0049423E" w:rsidRPr="00276667">
        <w:rPr>
          <w:rFonts w:ascii="Calibri" w:hAnsi="Calibri"/>
          <w:b/>
          <w:i/>
        </w:rPr>
        <w:t>abelle</w:t>
      </w:r>
      <w:r w:rsidR="001B02E4">
        <w:rPr>
          <w:rFonts w:ascii="Calibri" w:hAnsi="Calibri"/>
          <w:b/>
          <w:i/>
        </w:rPr>
        <w:t xml:space="preserve"> </w:t>
      </w:r>
      <w:r>
        <w:rPr>
          <w:rFonts w:ascii="Calibri" w:hAnsi="Calibri"/>
          <w:b/>
          <w:i/>
        </w:rPr>
        <w:t>1</w:t>
      </w:r>
      <w:r w:rsidR="0049423E" w:rsidRPr="00276667">
        <w:rPr>
          <w:rFonts w:ascii="Calibri" w:hAnsi="Calibri"/>
          <w:b/>
          <w:i/>
        </w:rPr>
        <w:t>: Herkunftsländer der Kundinnen und Kunden, 2. Oktober 2014 bis 29. Mai 2015</w:t>
      </w:r>
      <w:r w:rsidR="0049423E" w:rsidRPr="00276667">
        <w:rPr>
          <w:rFonts w:ascii="Calibri" w:hAnsi="Calibri"/>
          <w:b/>
        </w:rPr>
        <w:t xml:space="preserve"> </w:t>
      </w:r>
      <w:r w:rsidR="0049423E" w:rsidRPr="008056AB">
        <w:rPr>
          <w:rFonts w:ascii="Calibri" w:hAnsi="Calibri"/>
          <w:i/>
          <w:sz w:val="22"/>
          <w:szCs w:val="22"/>
        </w:rPr>
        <w:t>(in alphabetischer Reihenfolge)</w:t>
      </w:r>
    </w:p>
    <w:p w:rsidR="0049423E" w:rsidRPr="00276667" w:rsidRDefault="0049423E" w:rsidP="0049423E">
      <w:pPr>
        <w:jc w:val="both"/>
        <w:rPr>
          <w:rFonts w:ascii="Calibri" w:hAnsi="Calibri"/>
          <w:b/>
        </w:rPr>
      </w:pPr>
    </w:p>
    <w:tbl>
      <w:tblPr>
        <w:tblStyle w:val="GridTable4Accent5"/>
        <w:tblW w:w="8637" w:type="dxa"/>
        <w:tblInd w:w="5" w:type="dxa"/>
        <w:tblLook w:val="04A0"/>
      </w:tblPr>
      <w:tblGrid>
        <w:gridCol w:w="4101"/>
        <w:gridCol w:w="2410"/>
        <w:gridCol w:w="2126"/>
      </w:tblGrid>
      <w:tr w:rsidR="0049423E" w:rsidRPr="00276667" w:rsidTr="005624E5">
        <w:trPr>
          <w:cnfStyle w:val="100000000000"/>
          <w:trHeight w:val="320"/>
        </w:trPr>
        <w:tc>
          <w:tcPr>
            <w:cnfStyle w:val="001000000000"/>
            <w:tcW w:w="4101" w:type="dxa"/>
            <w:noWrap/>
            <w:hideMark/>
          </w:tcPr>
          <w:p w:rsidR="0049423E" w:rsidRPr="00276667" w:rsidRDefault="0049423E" w:rsidP="005624E5">
            <w:pPr>
              <w:rPr>
                <w:rFonts w:ascii="Calibri" w:eastAsia="Times New Roman" w:hAnsi="Calibri" w:cs="Times New Roman"/>
                <w:color w:val="000000"/>
              </w:rPr>
            </w:pPr>
          </w:p>
          <w:p w:rsidR="0049423E" w:rsidRPr="00276667" w:rsidRDefault="0049423E" w:rsidP="005624E5">
            <w:pPr>
              <w:rPr>
                <w:rFonts w:ascii="Calibri" w:eastAsia="Times New Roman" w:hAnsi="Calibri" w:cs="Times New Roman"/>
                <w:color w:val="000000"/>
              </w:rPr>
            </w:pPr>
            <w:r w:rsidRPr="00276667">
              <w:rPr>
                <w:rFonts w:ascii="Calibri" w:eastAsia="Times New Roman" w:hAnsi="Calibri" w:cs="Times New Roman"/>
                <w:color w:val="000000"/>
              </w:rPr>
              <w:t>Herkunftsländer</w:t>
            </w:r>
          </w:p>
          <w:p w:rsidR="0049423E" w:rsidRPr="00276667" w:rsidRDefault="0049423E" w:rsidP="005624E5">
            <w:pPr>
              <w:rPr>
                <w:rFonts w:ascii="Calibri" w:eastAsia="Times New Roman" w:hAnsi="Calibri" w:cs="Times New Roman"/>
                <w:color w:val="000000"/>
              </w:rPr>
            </w:pPr>
          </w:p>
        </w:tc>
        <w:tc>
          <w:tcPr>
            <w:tcW w:w="2410" w:type="dxa"/>
            <w:noWrap/>
            <w:hideMark/>
          </w:tcPr>
          <w:p w:rsidR="0049423E" w:rsidRPr="00276667" w:rsidRDefault="0049423E" w:rsidP="005624E5">
            <w:pPr>
              <w:cnfStyle w:val="100000000000"/>
              <w:rPr>
                <w:rFonts w:ascii="Calibri" w:eastAsia="Times New Roman" w:hAnsi="Calibri" w:cs="Times New Roman"/>
                <w:color w:val="000000"/>
              </w:rPr>
            </w:pPr>
          </w:p>
          <w:p w:rsidR="0049423E" w:rsidRPr="00276667" w:rsidRDefault="0049423E" w:rsidP="005624E5">
            <w:pPr>
              <w:cnfStyle w:val="100000000000"/>
              <w:rPr>
                <w:rFonts w:ascii="Calibri" w:eastAsia="Times New Roman" w:hAnsi="Calibri" w:cs="Times New Roman"/>
                <w:color w:val="000000"/>
              </w:rPr>
            </w:pPr>
            <w:r w:rsidRPr="00276667">
              <w:rPr>
                <w:rFonts w:ascii="Calibri" w:eastAsia="Times New Roman" w:hAnsi="Calibri" w:cs="Times New Roman"/>
                <w:color w:val="000000"/>
              </w:rPr>
              <w:t xml:space="preserve">          In Zahlen</w:t>
            </w:r>
          </w:p>
        </w:tc>
        <w:tc>
          <w:tcPr>
            <w:tcW w:w="2126" w:type="dxa"/>
            <w:noWrap/>
            <w:hideMark/>
          </w:tcPr>
          <w:p w:rsidR="0049423E" w:rsidRPr="00276667" w:rsidRDefault="0049423E" w:rsidP="005624E5">
            <w:pPr>
              <w:cnfStyle w:val="100000000000"/>
              <w:rPr>
                <w:rFonts w:ascii="Calibri" w:eastAsia="Times New Roman" w:hAnsi="Calibri" w:cs="Times New Roman"/>
                <w:color w:val="000000"/>
              </w:rPr>
            </w:pPr>
          </w:p>
          <w:p w:rsidR="0049423E" w:rsidRPr="00276667" w:rsidRDefault="0049423E" w:rsidP="005624E5">
            <w:pPr>
              <w:cnfStyle w:val="100000000000"/>
              <w:rPr>
                <w:rFonts w:ascii="Calibri" w:eastAsia="Times New Roman" w:hAnsi="Calibri" w:cs="Times New Roman"/>
                <w:color w:val="000000"/>
              </w:rPr>
            </w:pPr>
            <w:r w:rsidRPr="00276667">
              <w:rPr>
                <w:rFonts w:ascii="Calibri" w:eastAsia="Times New Roman" w:hAnsi="Calibri" w:cs="Times New Roman"/>
                <w:color w:val="000000"/>
              </w:rPr>
              <w:t xml:space="preserve">         in Prozent</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Afghanistan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9</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0,4</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Ägypten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13</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0,6</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Albanien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17</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0,8</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Algerien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18</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0,9</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Angola</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0,0</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Argentinien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3</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Armenien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Aserbaidschan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0,0</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Äthiopien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0,0</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Australien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5</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Bangladesch</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6</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Benin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0,0</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Bolivien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Bosnien/Herzegowina</w:t>
            </w:r>
          </w:p>
        </w:tc>
        <w:tc>
          <w:tcPr>
            <w:tcW w:w="2410" w:type="dxa"/>
            <w:noWrap/>
            <w:hideMark/>
          </w:tcPr>
          <w:p w:rsidR="0049423E" w:rsidRPr="00276667" w:rsidRDefault="007B20B4" w:rsidP="005624E5">
            <w:pPr>
              <w:jc w:val="center"/>
              <w:cnfStyle w:val="000000000000"/>
              <w:rPr>
                <w:rFonts w:ascii="Calibri" w:eastAsia="Times New Roman" w:hAnsi="Calibri" w:cs="Times New Roman"/>
                <w:color w:val="000000"/>
              </w:rPr>
            </w:pPr>
            <w:r>
              <w:rPr>
                <w:rFonts w:ascii="Calibri" w:eastAsia="Times New Roman" w:hAnsi="Calibri" w:cs="Times New Roman"/>
                <w:color w:val="000000"/>
              </w:rPr>
              <w:t>35</w:t>
            </w:r>
          </w:p>
        </w:tc>
        <w:tc>
          <w:tcPr>
            <w:tcW w:w="2126" w:type="dxa"/>
            <w:noWrap/>
            <w:hideMark/>
          </w:tcPr>
          <w:p w:rsidR="0049423E" w:rsidRPr="00276667" w:rsidRDefault="007B20B4" w:rsidP="005624E5">
            <w:pPr>
              <w:jc w:val="center"/>
              <w:cnfStyle w:val="000000000000"/>
              <w:rPr>
                <w:rFonts w:ascii="Calibri" w:eastAsia="Times New Roman" w:hAnsi="Calibri" w:cs="Times New Roman"/>
                <w:color w:val="000000"/>
              </w:rPr>
            </w:pPr>
            <w:r>
              <w:rPr>
                <w:rFonts w:ascii="Calibri" w:eastAsia="Times New Roman" w:hAnsi="Calibri" w:cs="Times New Roman"/>
                <w:color w:val="000000"/>
              </w:rPr>
              <w:t>1,7</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Brasilien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58</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2,8</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Bulgarien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37</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1,8</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Chile</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7</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China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24</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1,2</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Deutschland</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84</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4,0</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Dominikanische Republik</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6</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lastRenderedPageBreak/>
              <w:t>Ecuador</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Eritrea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Finnland</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Frankreich</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25</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1,2</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Gambia</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8</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0,4</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Georgien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5</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Ghana</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15</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0,7</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Griechenland</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118</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5,7</w:t>
            </w:r>
          </w:p>
        </w:tc>
      </w:tr>
      <w:tr w:rsidR="008D7EE5" w:rsidRPr="00276667" w:rsidTr="005624E5">
        <w:trPr>
          <w:cnfStyle w:val="000000100000"/>
          <w:trHeight w:val="320"/>
        </w:trPr>
        <w:tc>
          <w:tcPr>
            <w:cnfStyle w:val="001000000000"/>
            <w:tcW w:w="4101" w:type="dxa"/>
            <w:noWrap/>
          </w:tcPr>
          <w:p w:rsidR="008D7EE5" w:rsidRPr="0049423E" w:rsidRDefault="008D7EE5" w:rsidP="005624E5">
            <w:pPr>
              <w:rPr>
                <w:rFonts w:ascii="Calibri" w:eastAsia="Times New Roman" w:hAnsi="Calibri" w:cs="Times New Roman"/>
                <w:b w:val="0"/>
                <w:color w:val="000000"/>
              </w:rPr>
            </w:pPr>
            <w:r>
              <w:rPr>
                <w:rFonts w:ascii="Calibri" w:eastAsia="Times New Roman" w:hAnsi="Calibri" w:cs="Times New Roman"/>
                <w:b w:val="0"/>
                <w:color w:val="000000"/>
              </w:rPr>
              <w:t>Großbritannien</w:t>
            </w:r>
          </w:p>
        </w:tc>
        <w:tc>
          <w:tcPr>
            <w:tcW w:w="2410" w:type="dxa"/>
            <w:noWrap/>
          </w:tcPr>
          <w:p w:rsidR="008D7EE5" w:rsidRPr="00276667" w:rsidRDefault="008D7EE5" w:rsidP="005624E5">
            <w:pPr>
              <w:jc w:val="center"/>
              <w:cnfStyle w:val="000000100000"/>
              <w:rPr>
                <w:rFonts w:ascii="Calibri" w:eastAsia="Times New Roman" w:hAnsi="Calibri" w:cs="Times New Roman"/>
                <w:color w:val="000000"/>
              </w:rPr>
            </w:pPr>
            <w:r>
              <w:rPr>
                <w:rFonts w:ascii="Calibri" w:eastAsia="Times New Roman" w:hAnsi="Calibri" w:cs="Times New Roman"/>
                <w:color w:val="000000"/>
              </w:rPr>
              <w:t>17</w:t>
            </w:r>
          </w:p>
        </w:tc>
        <w:tc>
          <w:tcPr>
            <w:tcW w:w="2126" w:type="dxa"/>
            <w:noWrap/>
          </w:tcPr>
          <w:p w:rsidR="008D7EE5" w:rsidRPr="00276667" w:rsidRDefault="008D7EE5" w:rsidP="005624E5">
            <w:pPr>
              <w:jc w:val="center"/>
              <w:cnfStyle w:val="000000100000"/>
              <w:rPr>
                <w:rFonts w:ascii="Calibri" w:eastAsia="Times New Roman" w:hAnsi="Calibri" w:cs="Times New Roman"/>
                <w:color w:val="000000"/>
              </w:rPr>
            </w:pPr>
            <w:r>
              <w:rPr>
                <w:rFonts w:ascii="Calibri" w:eastAsia="Times New Roman" w:hAnsi="Calibri" w:cs="Times New Roman"/>
                <w:color w:val="000000"/>
              </w:rPr>
              <w:t>0,8</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Guatemala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cnfStyle w:val="000000100000"/>
          <w:trHeight w:val="320"/>
        </w:trPr>
        <w:tc>
          <w:tcPr>
            <w:cnfStyle w:val="001000000000"/>
            <w:tcW w:w="4101" w:type="dxa"/>
            <w:noWrap/>
            <w:hideMark/>
          </w:tcPr>
          <w:p w:rsidR="0049423E" w:rsidRPr="0049423E" w:rsidRDefault="008D7EE5" w:rsidP="005624E5">
            <w:pPr>
              <w:rPr>
                <w:rFonts w:ascii="Calibri" w:eastAsia="Times New Roman" w:hAnsi="Calibri" w:cs="Times New Roman"/>
                <w:b w:val="0"/>
                <w:color w:val="000000"/>
              </w:rPr>
            </w:pPr>
            <w:r>
              <w:rPr>
                <w:rFonts w:ascii="Calibri" w:eastAsia="Times New Roman" w:hAnsi="Calibri" w:cs="Times New Roman"/>
                <w:b w:val="0"/>
                <w:color w:val="000000"/>
              </w:rPr>
              <w:t xml:space="preserve">Holland und </w:t>
            </w:r>
            <w:r w:rsidR="0049423E" w:rsidRPr="0049423E">
              <w:rPr>
                <w:rFonts w:ascii="Calibri" w:eastAsia="Times New Roman" w:hAnsi="Calibri" w:cs="Times New Roman"/>
                <w:b w:val="0"/>
                <w:color w:val="000000"/>
              </w:rPr>
              <w:t>Polen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Indien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57</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2,7</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Indonesien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9</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0,4</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Irak</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0,5</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Iran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25</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1,2</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Irland</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Israel</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2</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Italien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272</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13,1</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Japan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6</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Jemen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Kamerun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0,5</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Kanada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cnfStyle w:val="000000100000"/>
          <w:trHeight w:val="320"/>
        </w:trPr>
        <w:tc>
          <w:tcPr>
            <w:cnfStyle w:val="001000000000"/>
            <w:tcW w:w="4101" w:type="dxa"/>
            <w:noWrap/>
            <w:hideMark/>
          </w:tcPr>
          <w:p w:rsidR="0049423E" w:rsidRPr="0049423E" w:rsidRDefault="008D7EE5" w:rsidP="005624E5">
            <w:pPr>
              <w:rPr>
                <w:rFonts w:ascii="Calibri" w:eastAsia="Times New Roman" w:hAnsi="Calibri" w:cs="Times New Roman"/>
                <w:b w:val="0"/>
                <w:color w:val="000000"/>
              </w:rPr>
            </w:pPr>
            <w:r>
              <w:rPr>
                <w:rFonts w:ascii="Calibri" w:eastAsia="Times New Roman" w:hAnsi="Calibri" w:cs="Times New Roman"/>
                <w:b w:val="0"/>
                <w:color w:val="000000"/>
              </w:rPr>
              <w:t xml:space="preserve">Kanada und </w:t>
            </w:r>
            <w:r w:rsidR="0049423E" w:rsidRPr="0049423E">
              <w:rPr>
                <w:rFonts w:ascii="Calibri" w:eastAsia="Times New Roman" w:hAnsi="Calibri" w:cs="Times New Roman"/>
                <w:b w:val="0"/>
                <w:color w:val="000000"/>
              </w:rPr>
              <w:t>England</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Katar</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Kenia</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7</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Kolumbien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26</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1,3</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Korea</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Kosovo</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28</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1,3</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Kroatien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174</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8,4</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Kuba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Lettland</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Libanon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6</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Litauen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2</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Luxemburg</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Libyen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Madagaskar</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Malawi</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Marokko</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14</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0,7</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Mazedonien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Mexiko</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13</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0,6</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Moldawien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8</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0,4</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Mongolei</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3</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Nepal</w:t>
            </w:r>
          </w:p>
        </w:tc>
        <w:tc>
          <w:tcPr>
            <w:tcW w:w="2410" w:type="dxa"/>
            <w:noWrap/>
            <w:hideMark/>
          </w:tcPr>
          <w:p w:rsidR="0049423E" w:rsidRPr="00276667" w:rsidRDefault="007B20B4" w:rsidP="005624E5">
            <w:pPr>
              <w:jc w:val="center"/>
              <w:cnfStyle w:val="000000100000"/>
              <w:rPr>
                <w:rFonts w:ascii="Calibri" w:eastAsia="Times New Roman" w:hAnsi="Calibri" w:cs="Times New Roman"/>
                <w:color w:val="000000"/>
              </w:rPr>
            </w:pPr>
            <w:r>
              <w:rPr>
                <w:rFonts w:ascii="Calibri" w:eastAsia="Times New Roman" w:hAnsi="Calibri" w:cs="Times New Roman"/>
                <w:color w:val="000000"/>
              </w:rPr>
              <w:t>5</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lastRenderedPageBreak/>
              <w:t>Neuseeland</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Niederlande</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6</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Nigeria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18</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0,9</w:t>
            </w:r>
          </w:p>
        </w:tc>
      </w:tr>
      <w:tr w:rsidR="0049423E" w:rsidRPr="00276667" w:rsidTr="005624E5">
        <w:trPr>
          <w:cnfStyle w:val="000000100000"/>
          <w:trHeight w:val="32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Norwegen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Pakistan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28</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1,3</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Palästina</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Panama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Peru</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10</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0,5</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Philippinen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10</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0,5</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Polen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43</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2,1</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Portugal</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17</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0,8</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Rumänien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107</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5,2</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Russland</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42</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w:t>
            </w:r>
            <w:r>
              <w:rPr>
                <w:rFonts w:ascii="Calibri" w:eastAsia="Times New Roman" w:hAnsi="Calibri" w:cs="Times New Roman"/>
                <w:color w:val="000000"/>
              </w:rPr>
              <w:t>,0</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Saudi Arabien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2</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Schweden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Senegal</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6</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Serbien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38</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1,8</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Slowakei</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5</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Slowenien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10</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0,5</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Somalia</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Spanien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160</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7,7</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Sri Lanka</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Südafrika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5</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Sudan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Südkorea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Syrien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79</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3,8</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Tadschikistan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Thailand</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6</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Togo</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5</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Tschechische Republik</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12</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0,6</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Tunesien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15</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0,7</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Türkei</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39</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1,9</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Ukraine</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27</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1,3</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Ungarn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46</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2,2</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USA</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28</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1,3</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USA/Spanien</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Usbekistan</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Venezuela</w:t>
            </w:r>
          </w:p>
        </w:tc>
        <w:tc>
          <w:tcPr>
            <w:tcW w:w="2410"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7</w:t>
            </w:r>
          </w:p>
        </w:tc>
        <w:tc>
          <w:tcPr>
            <w:tcW w:w="2126" w:type="dxa"/>
            <w:noWrap/>
            <w:hideMark/>
          </w:tcPr>
          <w:p w:rsidR="0049423E" w:rsidRPr="00276667" w:rsidRDefault="0049423E"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Vietnam</w:t>
            </w:r>
          </w:p>
        </w:tc>
        <w:tc>
          <w:tcPr>
            <w:tcW w:w="2410"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126" w:type="dxa"/>
            <w:noWrap/>
            <w:hideMark/>
          </w:tcPr>
          <w:p w:rsidR="0049423E" w:rsidRPr="00276667" w:rsidRDefault="0049423E"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Gesamtzahl verzeichneter Länder</w:t>
            </w:r>
          </w:p>
        </w:tc>
        <w:tc>
          <w:tcPr>
            <w:tcW w:w="2410" w:type="dxa"/>
            <w:noWrap/>
            <w:hideMark/>
          </w:tcPr>
          <w:p w:rsidR="0049423E" w:rsidRPr="007B20B4" w:rsidRDefault="00915D44" w:rsidP="005624E5">
            <w:pPr>
              <w:jc w:val="center"/>
              <w:cnfStyle w:val="000000100000"/>
              <w:rPr>
                <w:rFonts w:ascii="Calibri" w:eastAsia="Times New Roman" w:hAnsi="Calibri" w:cs="Times New Roman"/>
                <w:color w:val="000000"/>
              </w:rPr>
            </w:pPr>
            <w:r>
              <w:rPr>
                <w:rFonts w:ascii="Calibri" w:eastAsia="Times New Roman" w:hAnsi="Calibri" w:cs="Times New Roman"/>
                <w:color w:val="000000"/>
              </w:rPr>
              <w:t>2037</w:t>
            </w:r>
          </w:p>
        </w:tc>
        <w:tc>
          <w:tcPr>
            <w:tcW w:w="2126" w:type="dxa"/>
            <w:noWrap/>
            <w:hideMark/>
          </w:tcPr>
          <w:p w:rsidR="0049423E" w:rsidRPr="007B20B4" w:rsidRDefault="0049423E" w:rsidP="005624E5">
            <w:pPr>
              <w:jc w:val="center"/>
              <w:cnfStyle w:val="000000100000"/>
              <w:rPr>
                <w:rFonts w:ascii="Calibri" w:eastAsia="Times New Roman" w:hAnsi="Calibri" w:cs="Times New Roman"/>
                <w:color w:val="000000"/>
              </w:rPr>
            </w:pPr>
            <w:r w:rsidRPr="007B20B4">
              <w:rPr>
                <w:rFonts w:ascii="Calibri" w:eastAsia="Times New Roman" w:hAnsi="Calibri" w:cs="Times New Roman"/>
                <w:color w:val="000000"/>
              </w:rPr>
              <w:t>98,1</w:t>
            </w:r>
          </w:p>
        </w:tc>
      </w:tr>
      <w:tr w:rsidR="0049423E" w:rsidRPr="00276667" w:rsidTr="005624E5">
        <w:trPr>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Pr>
                <w:rFonts w:ascii="Calibri" w:eastAsia="Times New Roman" w:hAnsi="Calibri" w:cs="Times New Roman"/>
                <w:b w:val="0"/>
                <w:color w:val="000000"/>
              </w:rPr>
              <w:t>Keine Angabe</w:t>
            </w:r>
          </w:p>
        </w:tc>
        <w:tc>
          <w:tcPr>
            <w:tcW w:w="2410" w:type="dxa"/>
            <w:noWrap/>
            <w:hideMark/>
          </w:tcPr>
          <w:p w:rsidR="0049423E" w:rsidRPr="007B20B4" w:rsidRDefault="00447067" w:rsidP="005624E5">
            <w:pPr>
              <w:jc w:val="center"/>
              <w:cnfStyle w:val="000000000000"/>
              <w:rPr>
                <w:rFonts w:ascii="Calibri" w:eastAsia="Times New Roman" w:hAnsi="Calibri" w:cs="Times New Roman"/>
                <w:color w:val="000000"/>
              </w:rPr>
            </w:pPr>
            <w:r>
              <w:rPr>
                <w:rFonts w:ascii="Calibri" w:eastAsia="Times New Roman" w:hAnsi="Calibri" w:cs="Times New Roman"/>
                <w:color w:val="000000"/>
              </w:rPr>
              <w:t>38</w:t>
            </w:r>
          </w:p>
        </w:tc>
        <w:tc>
          <w:tcPr>
            <w:tcW w:w="2126" w:type="dxa"/>
            <w:noWrap/>
            <w:hideMark/>
          </w:tcPr>
          <w:p w:rsidR="0049423E" w:rsidRPr="007B20B4" w:rsidRDefault="0049423E" w:rsidP="005624E5">
            <w:pPr>
              <w:jc w:val="center"/>
              <w:cnfStyle w:val="000000000000"/>
              <w:rPr>
                <w:rFonts w:ascii="Calibri" w:eastAsia="Times New Roman" w:hAnsi="Calibri" w:cs="Times New Roman"/>
                <w:color w:val="000000"/>
              </w:rPr>
            </w:pPr>
            <w:r w:rsidRPr="007B20B4">
              <w:rPr>
                <w:rFonts w:ascii="Calibri" w:eastAsia="Times New Roman" w:hAnsi="Calibri" w:cs="Times New Roman"/>
                <w:color w:val="000000"/>
              </w:rPr>
              <w:t>1,9</w:t>
            </w:r>
          </w:p>
        </w:tc>
      </w:tr>
      <w:tr w:rsidR="0049423E" w:rsidRPr="00276667" w:rsidTr="005624E5">
        <w:trPr>
          <w:cnfStyle w:val="000000100000"/>
          <w:trHeight w:val="300"/>
        </w:trPr>
        <w:tc>
          <w:tcPr>
            <w:cnfStyle w:val="001000000000"/>
            <w:tcW w:w="4101" w:type="dxa"/>
            <w:noWrap/>
            <w:hideMark/>
          </w:tcPr>
          <w:p w:rsidR="0049423E" w:rsidRPr="0049423E" w:rsidRDefault="0049423E" w:rsidP="005624E5">
            <w:pPr>
              <w:rPr>
                <w:rFonts w:ascii="Calibri" w:eastAsia="Times New Roman" w:hAnsi="Calibri" w:cs="Times New Roman"/>
                <w:b w:val="0"/>
                <w:color w:val="000000"/>
              </w:rPr>
            </w:pPr>
            <w:r w:rsidRPr="0049423E">
              <w:rPr>
                <w:rFonts w:ascii="Calibri" w:eastAsia="Times New Roman" w:hAnsi="Calibri" w:cs="Times New Roman"/>
                <w:b w:val="0"/>
                <w:color w:val="000000"/>
              </w:rPr>
              <w:t>Gesamt</w:t>
            </w:r>
            <w:r>
              <w:rPr>
                <w:rFonts w:ascii="Calibri" w:eastAsia="Times New Roman" w:hAnsi="Calibri" w:cs="Times New Roman"/>
                <w:b w:val="0"/>
                <w:color w:val="000000"/>
              </w:rPr>
              <w:t xml:space="preserve"> aller verzeichneten Beratungen</w:t>
            </w:r>
          </w:p>
        </w:tc>
        <w:tc>
          <w:tcPr>
            <w:tcW w:w="2410" w:type="dxa"/>
            <w:noWrap/>
            <w:hideMark/>
          </w:tcPr>
          <w:p w:rsidR="0049423E" w:rsidRPr="007B20B4" w:rsidRDefault="0049423E" w:rsidP="005624E5">
            <w:pPr>
              <w:jc w:val="center"/>
              <w:cnfStyle w:val="000000100000"/>
              <w:rPr>
                <w:rFonts w:ascii="Calibri" w:eastAsia="Times New Roman" w:hAnsi="Calibri" w:cs="Times New Roman"/>
                <w:color w:val="000000"/>
              </w:rPr>
            </w:pPr>
            <w:r w:rsidRPr="007B20B4">
              <w:rPr>
                <w:rFonts w:ascii="Calibri" w:eastAsia="Times New Roman" w:hAnsi="Calibri" w:cs="Times New Roman"/>
                <w:color w:val="000000"/>
              </w:rPr>
              <w:t>2075</w:t>
            </w:r>
          </w:p>
        </w:tc>
        <w:tc>
          <w:tcPr>
            <w:tcW w:w="2126" w:type="dxa"/>
            <w:noWrap/>
            <w:hideMark/>
          </w:tcPr>
          <w:p w:rsidR="0049423E" w:rsidRPr="007B20B4" w:rsidRDefault="0049423E" w:rsidP="005624E5">
            <w:pPr>
              <w:jc w:val="center"/>
              <w:cnfStyle w:val="000000100000"/>
              <w:rPr>
                <w:rFonts w:ascii="Calibri" w:eastAsia="Times New Roman" w:hAnsi="Calibri" w:cs="Times New Roman"/>
                <w:color w:val="000000"/>
              </w:rPr>
            </w:pPr>
            <w:r w:rsidRPr="007B20B4">
              <w:rPr>
                <w:rFonts w:ascii="Calibri" w:eastAsia="Times New Roman" w:hAnsi="Calibri" w:cs="Times New Roman"/>
                <w:color w:val="000000"/>
              </w:rPr>
              <w:t>100</w:t>
            </w:r>
          </w:p>
        </w:tc>
      </w:tr>
    </w:tbl>
    <w:p w:rsidR="0049423E" w:rsidRPr="00276667" w:rsidRDefault="0049423E" w:rsidP="0049423E">
      <w:pPr>
        <w:rPr>
          <w:rFonts w:ascii="Calibri" w:hAnsi="Calibri"/>
          <w:b/>
        </w:rPr>
      </w:pPr>
    </w:p>
    <w:p w:rsidR="0049423E" w:rsidRDefault="0049423E" w:rsidP="00105DAA">
      <w:pPr>
        <w:jc w:val="both"/>
        <w:rPr>
          <w:rFonts w:ascii="Calibri" w:hAnsi="Calibri"/>
          <w:sz w:val="22"/>
          <w:szCs w:val="22"/>
        </w:rPr>
      </w:pPr>
    </w:p>
    <w:p w:rsidR="00B23E0B" w:rsidRDefault="00B23E0B" w:rsidP="003E614C">
      <w:pPr>
        <w:contextualSpacing/>
        <w:jc w:val="both"/>
        <w:rPr>
          <w:rFonts w:ascii="Calibri" w:hAnsi="Calibri"/>
          <w:b/>
          <w:i/>
        </w:rPr>
      </w:pPr>
    </w:p>
    <w:p w:rsidR="003E614C" w:rsidRPr="008056AB" w:rsidRDefault="003E614C" w:rsidP="003E614C">
      <w:pPr>
        <w:contextualSpacing/>
        <w:jc w:val="both"/>
        <w:rPr>
          <w:rFonts w:ascii="Calibri" w:hAnsi="Calibri"/>
          <w:b/>
          <w:i/>
          <w:sz w:val="22"/>
          <w:szCs w:val="22"/>
        </w:rPr>
      </w:pPr>
      <w:r w:rsidRPr="00276667">
        <w:rPr>
          <w:rFonts w:ascii="Calibri" w:hAnsi="Calibri"/>
          <w:b/>
          <w:i/>
        </w:rPr>
        <w:lastRenderedPageBreak/>
        <w:t>Tabelle</w:t>
      </w:r>
      <w:r w:rsidR="001B02E4">
        <w:rPr>
          <w:rFonts w:ascii="Calibri" w:hAnsi="Calibri"/>
          <w:b/>
          <w:i/>
        </w:rPr>
        <w:t xml:space="preserve"> </w:t>
      </w:r>
      <w:r w:rsidR="00F42546">
        <w:rPr>
          <w:rFonts w:ascii="Calibri" w:hAnsi="Calibri"/>
          <w:b/>
          <w:i/>
        </w:rPr>
        <w:t>2</w:t>
      </w:r>
      <w:r w:rsidRPr="00276667">
        <w:rPr>
          <w:rFonts w:ascii="Calibri" w:hAnsi="Calibri"/>
          <w:b/>
          <w:i/>
        </w:rPr>
        <w:t xml:space="preserve">: Verzeichnete Berufsgruppen/Branchen und Abschlüsse der Kundinnen und Kunden, 2. Oktober 2014 bis </w:t>
      </w:r>
      <w:r>
        <w:rPr>
          <w:rFonts w:ascii="Calibri" w:hAnsi="Calibri"/>
          <w:b/>
          <w:i/>
        </w:rPr>
        <w:t>2</w:t>
      </w:r>
      <w:r w:rsidRPr="00276667">
        <w:rPr>
          <w:rFonts w:ascii="Calibri" w:hAnsi="Calibri"/>
          <w:b/>
          <w:i/>
        </w:rPr>
        <w:t>9. Mai 2015</w:t>
      </w:r>
      <w:r w:rsidR="008056AB">
        <w:rPr>
          <w:rFonts w:ascii="Calibri" w:hAnsi="Calibri"/>
          <w:b/>
          <w:i/>
        </w:rPr>
        <w:t xml:space="preserve"> </w:t>
      </w:r>
    </w:p>
    <w:p w:rsidR="003E614C" w:rsidRPr="00276667" w:rsidRDefault="003E614C" w:rsidP="003E614C">
      <w:pPr>
        <w:rPr>
          <w:rFonts w:ascii="Calibri" w:hAnsi="Calibri"/>
          <w:b/>
        </w:rPr>
      </w:pPr>
    </w:p>
    <w:tbl>
      <w:tblPr>
        <w:tblStyle w:val="GridTable4Accent5"/>
        <w:tblW w:w="8784" w:type="dxa"/>
        <w:tblLook w:val="04A0"/>
      </w:tblPr>
      <w:tblGrid>
        <w:gridCol w:w="4106"/>
        <w:gridCol w:w="2410"/>
        <w:gridCol w:w="2268"/>
      </w:tblGrid>
      <w:tr w:rsidR="003E614C" w:rsidRPr="00276667" w:rsidTr="005624E5">
        <w:trPr>
          <w:cnfStyle w:val="100000000000"/>
          <w:trHeight w:val="320"/>
        </w:trPr>
        <w:tc>
          <w:tcPr>
            <w:cnfStyle w:val="001000000000"/>
            <w:tcW w:w="4106" w:type="dxa"/>
            <w:noWrap/>
            <w:hideMark/>
          </w:tcPr>
          <w:p w:rsidR="003E614C" w:rsidRPr="00276667" w:rsidRDefault="00474355" w:rsidP="005624E5">
            <w:pPr>
              <w:tabs>
                <w:tab w:val="right" w:pos="3602"/>
              </w:tabs>
              <w:rPr>
                <w:rFonts w:ascii="Calibri" w:eastAsia="Times New Roman" w:hAnsi="Calibri" w:cs="Times New Roman"/>
                <w:color w:val="000000"/>
              </w:rPr>
            </w:pPr>
            <w:r>
              <w:rPr>
                <w:rFonts w:ascii="Calibri" w:eastAsia="Times New Roman" w:hAnsi="Calibri" w:cs="Times New Roman"/>
                <w:color w:val="000000"/>
              </w:rPr>
              <w:t>Berufsgruppe</w:t>
            </w:r>
            <w:r>
              <w:rPr>
                <w:rFonts w:ascii="Calibri" w:eastAsia="Times New Roman" w:hAnsi="Calibri" w:cs="Times New Roman"/>
                <w:color w:val="000000"/>
              </w:rPr>
              <w:tab/>
            </w:r>
          </w:p>
        </w:tc>
        <w:tc>
          <w:tcPr>
            <w:tcW w:w="2410" w:type="dxa"/>
            <w:noWrap/>
            <w:hideMark/>
          </w:tcPr>
          <w:p w:rsidR="003E614C" w:rsidRPr="00276667" w:rsidRDefault="00474355" w:rsidP="005624E5">
            <w:pPr>
              <w:cnfStyle w:val="100000000000"/>
              <w:rPr>
                <w:rFonts w:ascii="Calibri" w:eastAsia="Times New Roman" w:hAnsi="Calibri" w:cs="Times New Roman"/>
                <w:color w:val="000000"/>
              </w:rPr>
            </w:pPr>
            <w:r>
              <w:rPr>
                <w:rFonts w:ascii="Calibri" w:eastAsia="Times New Roman" w:hAnsi="Calibri" w:cs="Times New Roman"/>
                <w:color w:val="000000"/>
              </w:rPr>
              <w:t xml:space="preserve">       </w:t>
            </w:r>
            <w:r w:rsidR="005624E5">
              <w:rPr>
                <w:rFonts w:ascii="Calibri" w:eastAsia="Times New Roman" w:hAnsi="Calibri" w:cs="Times New Roman"/>
                <w:color w:val="000000"/>
              </w:rPr>
              <w:t>Häufigkeit</w:t>
            </w:r>
          </w:p>
        </w:tc>
        <w:tc>
          <w:tcPr>
            <w:tcW w:w="2268" w:type="dxa"/>
            <w:noWrap/>
            <w:hideMark/>
          </w:tcPr>
          <w:p w:rsidR="003E614C" w:rsidRPr="00276667" w:rsidRDefault="00474355" w:rsidP="005624E5">
            <w:pPr>
              <w:cnfStyle w:val="100000000000"/>
              <w:rPr>
                <w:rFonts w:ascii="Calibri" w:eastAsia="Times New Roman" w:hAnsi="Calibri" w:cs="Times New Roman"/>
                <w:color w:val="000000"/>
              </w:rPr>
            </w:pPr>
            <w:r>
              <w:rPr>
                <w:rFonts w:ascii="Calibri" w:eastAsia="Times New Roman" w:hAnsi="Calibri" w:cs="Times New Roman"/>
                <w:color w:val="000000"/>
              </w:rPr>
              <w:t xml:space="preserve">          </w:t>
            </w:r>
            <w:r w:rsidR="003E614C" w:rsidRPr="00276667">
              <w:rPr>
                <w:rFonts w:ascii="Calibri" w:eastAsia="Times New Roman" w:hAnsi="Calibri" w:cs="Times New Roman"/>
                <w:color w:val="000000"/>
              </w:rPr>
              <w:t>Prozent</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Architektur</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29</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1,4</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Au-Pair</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12</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0,6</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PR</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0,0</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Betriebswirtschaft</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40</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1,9</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Fahrzeugführer</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14</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0,7</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Finanzwesen</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10</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0,5</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Gastronomie</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38</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1,8</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Geisteswissenschaften</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18</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0,9</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Gesundheitswesen</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118</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5,7</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Handwerk</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59</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2,8</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Hausfrau/Hausmann</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Hilfstätigkeiten</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Ingenieurberufe</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82</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3,9</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IT-Wesen</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48</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2,3</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Jura</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19</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0,9</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kaufmännische Berufe</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17</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0,8</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D04789">
              <w:rPr>
                <w:rFonts w:ascii="Calibri" w:eastAsia="Times New Roman" w:hAnsi="Calibri" w:cs="Times New Roman"/>
                <w:b w:val="0"/>
                <w:color w:val="000000"/>
              </w:rPr>
              <w:t>kein Ausbildungsabschluss</w:t>
            </w:r>
          </w:p>
        </w:tc>
        <w:tc>
          <w:tcPr>
            <w:tcW w:w="2410" w:type="dxa"/>
            <w:noWrap/>
            <w:hideMark/>
          </w:tcPr>
          <w:p w:rsidR="003E614C" w:rsidRPr="00276667" w:rsidRDefault="00D04789" w:rsidP="005624E5">
            <w:pPr>
              <w:jc w:val="center"/>
              <w:cnfStyle w:val="000000100000"/>
              <w:rPr>
                <w:rFonts w:ascii="Calibri" w:eastAsia="Times New Roman" w:hAnsi="Calibri" w:cs="Times New Roman"/>
                <w:color w:val="000000"/>
              </w:rPr>
            </w:pPr>
            <w:r>
              <w:rPr>
                <w:rFonts w:ascii="Calibri" w:eastAsia="Times New Roman" w:hAnsi="Calibri" w:cs="Times New Roman"/>
                <w:color w:val="000000"/>
              </w:rPr>
              <w:t>2</w:t>
            </w:r>
            <w:r w:rsidR="003E614C" w:rsidRPr="00276667">
              <w:rPr>
                <w:rFonts w:ascii="Calibri" w:eastAsia="Times New Roman" w:hAnsi="Calibri" w:cs="Times New Roman"/>
                <w:color w:val="000000"/>
              </w:rPr>
              <w:t>1</w:t>
            </w:r>
          </w:p>
        </w:tc>
        <w:tc>
          <w:tcPr>
            <w:tcW w:w="2268" w:type="dxa"/>
            <w:noWrap/>
            <w:hideMark/>
          </w:tcPr>
          <w:p w:rsidR="003E614C" w:rsidRPr="00276667" w:rsidRDefault="00D04789" w:rsidP="005624E5">
            <w:pPr>
              <w:jc w:val="center"/>
              <w:cnfStyle w:val="000000100000"/>
              <w:rPr>
                <w:rFonts w:ascii="Calibri" w:eastAsia="Times New Roman" w:hAnsi="Calibri" w:cs="Times New Roman"/>
                <w:color w:val="000000"/>
              </w:rPr>
            </w:pPr>
            <w:r>
              <w:rPr>
                <w:rFonts w:ascii="Calibri" w:eastAsia="Times New Roman" w:hAnsi="Calibri" w:cs="Times New Roman"/>
                <w:color w:val="000000"/>
              </w:rPr>
              <w:t>1,0</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künstlerische Berufe</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19</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0,9</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Textilwesen</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Naturwissenschaften</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27</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1,3</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Promotion</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Psychologie</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16</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0,8</w:t>
            </w:r>
          </w:p>
        </w:tc>
      </w:tr>
      <w:tr w:rsidR="003E614C" w:rsidRPr="00276667" w:rsidTr="005624E5">
        <w:trPr>
          <w:cnfStyle w:val="000000100000"/>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Reinigungskraft</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6</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3E614C" w:rsidRPr="00276667" w:rsidTr="005624E5">
        <w:trPr>
          <w:trHeight w:val="32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Rentner/in</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3</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0,1</w:t>
            </w:r>
          </w:p>
        </w:tc>
      </w:tr>
      <w:tr w:rsidR="003E614C" w:rsidRPr="00276667" w:rsidTr="005624E5">
        <w:trPr>
          <w:cnfStyle w:val="000000100000"/>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Schüler/in</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23</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1,1</w:t>
            </w:r>
          </w:p>
        </w:tc>
      </w:tr>
      <w:tr w:rsidR="003E614C" w:rsidRPr="00276667" w:rsidTr="005624E5">
        <w:trPr>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sonstiges</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31</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1,5</w:t>
            </w:r>
          </w:p>
        </w:tc>
      </w:tr>
      <w:tr w:rsidR="003E614C" w:rsidRPr="00276667" w:rsidTr="005624E5">
        <w:trPr>
          <w:cnfStyle w:val="000000100000"/>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soziale Berufe</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62</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3,0</w:t>
            </w:r>
          </w:p>
        </w:tc>
      </w:tr>
      <w:tr w:rsidR="003E614C" w:rsidRPr="00276667" w:rsidTr="005624E5">
        <w:trPr>
          <w:trHeight w:val="300"/>
        </w:trPr>
        <w:tc>
          <w:tcPr>
            <w:cnfStyle w:val="001000000000"/>
            <w:tcW w:w="4106" w:type="dxa"/>
            <w:noWrap/>
            <w:hideMark/>
          </w:tcPr>
          <w:p w:rsidR="003E614C" w:rsidRPr="00166BA1" w:rsidRDefault="003E614C" w:rsidP="005624E5">
            <w:pPr>
              <w:rPr>
                <w:rFonts w:ascii="Calibri" w:eastAsia="Times New Roman" w:hAnsi="Calibri" w:cs="Times New Roman"/>
                <w:b w:val="0"/>
                <w:color w:val="000000"/>
              </w:rPr>
            </w:pPr>
            <w:r w:rsidRPr="00166BA1">
              <w:rPr>
                <w:rFonts w:ascii="Calibri" w:eastAsia="Times New Roman" w:hAnsi="Calibri" w:cs="Times New Roman"/>
                <w:b w:val="0"/>
                <w:color w:val="000000"/>
              </w:rPr>
              <w:t>Studienabschluss</w:t>
            </w:r>
            <w:r w:rsidR="00474355">
              <w:rPr>
                <w:rFonts w:ascii="Calibri" w:eastAsia="Times New Roman" w:hAnsi="Calibri" w:cs="Times New Roman"/>
                <w:b w:val="0"/>
                <w:color w:val="000000"/>
              </w:rPr>
              <w:t xml:space="preserve"> (BA, MA, Diplom</w:t>
            </w:r>
            <w:r w:rsidR="00166BA1" w:rsidRPr="00166BA1">
              <w:rPr>
                <w:rFonts w:ascii="Calibri" w:eastAsia="Times New Roman" w:hAnsi="Calibri" w:cs="Times New Roman"/>
                <w:b w:val="0"/>
                <w:color w:val="000000"/>
              </w:rPr>
              <w:t>)</w:t>
            </w:r>
          </w:p>
        </w:tc>
        <w:tc>
          <w:tcPr>
            <w:tcW w:w="2410" w:type="dxa"/>
            <w:noWrap/>
            <w:hideMark/>
          </w:tcPr>
          <w:p w:rsidR="003E614C" w:rsidRPr="00166BA1" w:rsidRDefault="00644FAA" w:rsidP="005624E5">
            <w:pPr>
              <w:jc w:val="center"/>
              <w:cnfStyle w:val="000000000000"/>
              <w:rPr>
                <w:rFonts w:ascii="Calibri" w:eastAsia="Times New Roman" w:hAnsi="Calibri" w:cs="Times New Roman"/>
                <w:color w:val="000000"/>
              </w:rPr>
            </w:pPr>
            <w:r w:rsidRPr="00644FAA">
              <w:rPr>
                <w:rFonts w:ascii="Calibri" w:eastAsia="Times New Roman" w:hAnsi="Calibri" w:cs="Times New Roman"/>
                <w:color w:val="000000"/>
              </w:rPr>
              <w:t>102</w:t>
            </w:r>
          </w:p>
        </w:tc>
        <w:tc>
          <w:tcPr>
            <w:tcW w:w="2268" w:type="dxa"/>
            <w:noWrap/>
            <w:hideMark/>
          </w:tcPr>
          <w:p w:rsidR="003E614C" w:rsidRPr="00276667" w:rsidRDefault="00644FAA" w:rsidP="005624E5">
            <w:pPr>
              <w:jc w:val="center"/>
              <w:cnfStyle w:val="000000000000"/>
              <w:rPr>
                <w:rFonts w:ascii="Calibri" w:eastAsia="Times New Roman" w:hAnsi="Calibri" w:cs="Times New Roman"/>
                <w:color w:val="000000"/>
              </w:rPr>
            </w:pPr>
            <w:r>
              <w:rPr>
                <w:rFonts w:ascii="Calibri" w:eastAsia="Times New Roman" w:hAnsi="Calibri" w:cs="Times New Roman"/>
                <w:color w:val="000000"/>
              </w:rPr>
              <w:t>4,9</w:t>
            </w:r>
          </w:p>
        </w:tc>
      </w:tr>
      <w:tr w:rsidR="003E614C" w:rsidRPr="00276667" w:rsidTr="005624E5">
        <w:trPr>
          <w:cnfStyle w:val="000000100000"/>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Studierende</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79</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3,8</w:t>
            </w:r>
          </w:p>
        </w:tc>
      </w:tr>
      <w:tr w:rsidR="003E614C" w:rsidRPr="00276667" w:rsidTr="005624E5">
        <w:trPr>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technische Berufe</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61</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2,9</w:t>
            </w:r>
          </w:p>
        </w:tc>
      </w:tr>
      <w:tr w:rsidR="003E614C" w:rsidRPr="00276667" w:rsidTr="005624E5">
        <w:trPr>
          <w:cnfStyle w:val="000000100000"/>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Verwaltung</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13</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0,6</w:t>
            </w:r>
          </w:p>
        </w:tc>
      </w:tr>
      <w:tr w:rsidR="003E614C" w:rsidRPr="00276667" w:rsidTr="005624E5">
        <w:trPr>
          <w:trHeight w:val="300"/>
        </w:trPr>
        <w:tc>
          <w:tcPr>
            <w:cnfStyle w:val="001000000000"/>
            <w:tcW w:w="4106" w:type="dxa"/>
            <w:noWrap/>
            <w:hideMark/>
          </w:tcPr>
          <w:p w:rsidR="003E614C" w:rsidRPr="00644FAA" w:rsidRDefault="003E614C" w:rsidP="005624E5">
            <w:pPr>
              <w:rPr>
                <w:rFonts w:ascii="Calibri" w:eastAsia="Times New Roman" w:hAnsi="Calibri" w:cs="Times New Roman"/>
                <w:b w:val="0"/>
                <w:color w:val="000000"/>
                <w:sz w:val="20"/>
                <w:szCs w:val="20"/>
              </w:rPr>
            </w:pPr>
            <w:r w:rsidRPr="003E614C">
              <w:rPr>
                <w:rFonts w:ascii="Calibri" w:eastAsia="Times New Roman" w:hAnsi="Calibri" w:cs="Times New Roman"/>
                <w:b w:val="0"/>
                <w:color w:val="000000"/>
              </w:rPr>
              <w:t>Schulabschluss</w:t>
            </w:r>
            <w:r w:rsidR="00644FAA">
              <w:rPr>
                <w:rFonts w:ascii="Calibri" w:eastAsia="Times New Roman" w:hAnsi="Calibri" w:cs="Times New Roman"/>
                <w:b w:val="0"/>
                <w:color w:val="000000"/>
                <w:sz w:val="20"/>
                <w:szCs w:val="20"/>
              </w:rPr>
              <w:t xml:space="preserve"> (davon 21 mit Abitur)</w:t>
            </w:r>
          </w:p>
        </w:tc>
        <w:tc>
          <w:tcPr>
            <w:tcW w:w="2410" w:type="dxa"/>
            <w:noWrap/>
            <w:hideMark/>
          </w:tcPr>
          <w:p w:rsidR="003E614C" w:rsidRPr="00276667" w:rsidRDefault="00644FAA" w:rsidP="005624E5">
            <w:pPr>
              <w:jc w:val="center"/>
              <w:cnfStyle w:val="000000000000"/>
              <w:rPr>
                <w:rFonts w:ascii="Calibri" w:eastAsia="Times New Roman" w:hAnsi="Calibri" w:cs="Times New Roman"/>
                <w:color w:val="000000"/>
              </w:rPr>
            </w:pPr>
            <w:r w:rsidRPr="00644FAA">
              <w:rPr>
                <w:rFonts w:ascii="Calibri" w:eastAsia="Times New Roman" w:hAnsi="Calibri" w:cs="Times New Roman"/>
                <w:color w:val="000000"/>
              </w:rPr>
              <w:t>35</w:t>
            </w:r>
          </w:p>
        </w:tc>
        <w:tc>
          <w:tcPr>
            <w:tcW w:w="2268" w:type="dxa"/>
            <w:noWrap/>
            <w:hideMark/>
          </w:tcPr>
          <w:p w:rsidR="003E614C" w:rsidRPr="00276667" w:rsidRDefault="00035440" w:rsidP="005624E5">
            <w:pPr>
              <w:jc w:val="center"/>
              <w:cnfStyle w:val="000000000000"/>
              <w:rPr>
                <w:rFonts w:ascii="Calibri" w:eastAsia="Times New Roman" w:hAnsi="Calibri" w:cs="Times New Roman"/>
                <w:color w:val="000000"/>
              </w:rPr>
            </w:pPr>
            <w:r>
              <w:rPr>
                <w:rFonts w:ascii="Calibri" w:eastAsia="Times New Roman" w:hAnsi="Calibri" w:cs="Times New Roman"/>
                <w:color w:val="000000"/>
              </w:rPr>
              <w:t>1</w:t>
            </w:r>
            <w:r w:rsidR="003E614C" w:rsidRPr="00276667">
              <w:rPr>
                <w:rFonts w:ascii="Calibri" w:eastAsia="Times New Roman" w:hAnsi="Calibri" w:cs="Times New Roman"/>
                <w:color w:val="000000"/>
              </w:rPr>
              <w:t>,7</w:t>
            </w:r>
          </w:p>
        </w:tc>
      </w:tr>
      <w:tr w:rsidR="003E614C" w:rsidRPr="00276667" w:rsidTr="005624E5">
        <w:trPr>
          <w:cnfStyle w:val="000000100000"/>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Ausbildungsabschluss</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4</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0,2</w:t>
            </w:r>
          </w:p>
        </w:tc>
      </w:tr>
      <w:tr w:rsidR="003E614C" w:rsidRPr="00276667" w:rsidTr="005624E5">
        <w:trPr>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selbstständig</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8</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0,4</w:t>
            </w:r>
          </w:p>
        </w:tc>
      </w:tr>
      <w:tr w:rsidR="003E614C" w:rsidRPr="00276667" w:rsidTr="005624E5">
        <w:trPr>
          <w:cnfStyle w:val="000000100000"/>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Hotelbranche/Tourismus</w:t>
            </w:r>
          </w:p>
        </w:tc>
        <w:tc>
          <w:tcPr>
            <w:tcW w:w="2410"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14</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0,7</w:t>
            </w:r>
          </w:p>
        </w:tc>
      </w:tr>
      <w:tr w:rsidR="003E614C" w:rsidRPr="00276667" w:rsidTr="005624E5">
        <w:trPr>
          <w:trHeight w:val="300"/>
        </w:trPr>
        <w:tc>
          <w:tcPr>
            <w:cnfStyle w:val="001000000000"/>
            <w:tcW w:w="4106" w:type="dxa"/>
            <w:noWrap/>
            <w:hideMark/>
          </w:tcPr>
          <w:p w:rsidR="003E614C" w:rsidRPr="003E614C" w:rsidRDefault="003E614C" w:rsidP="005624E5">
            <w:pPr>
              <w:rPr>
                <w:rFonts w:ascii="Calibri" w:eastAsia="Times New Roman" w:hAnsi="Calibri" w:cs="Times New Roman"/>
                <w:b w:val="0"/>
                <w:color w:val="000000"/>
              </w:rPr>
            </w:pPr>
            <w:r w:rsidRPr="003E614C">
              <w:rPr>
                <w:rFonts w:ascii="Calibri" w:eastAsia="Times New Roman" w:hAnsi="Calibri" w:cs="Times New Roman"/>
                <w:b w:val="0"/>
                <w:color w:val="000000"/>
              </w:rPr>
              <w:t>Fachkräfte</w:t>
            </w:r>
          </w:p>
        </w:tc>
        <w:tc>
          <w:tcPr>
            <w:tcW w:w="2410"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7</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0,3</w:t>
            </w:r>
          </w:p>
        </w:tc>
      </w:tr>
      <w:tr w:rsidR="003E614C" w:rsidRPr="00276667" w:rsidTr="005624E5">
        <w:trPr>
          <w:cnfStyle w:val="000000100000"/>
          <w:trHeight w:val="300"/>
        </w:trPr>
        <w:tc>
          <w:tcPr>
            <w:cnfStyle w:val="001000000000"/>
            <w:tcW w:w="4106" w:type="dxa"/>
            <w:noWrap/>
            <w:hideMark/>
          </w:tcPr>
          <w:p w:rsidR="003E614C" w:rsidRPr="003E614C" w:rsidRDefault="005624E5" w:rsidP="005624E5">
            <w:pPr>
              <w:rPr>
                <w:rFonts w:ascii="Calibri" w:eastAsia="Times New Roman" w:hAnsi="Calibri" w:cs="Times New Roman"/>
                <w:b w:val="0"/>
                <w:color w:val="000000"/>
              </w:rPr>
            </w:pPr>
            <w:r>
              <w:rPr>
                <w:rFonts w:ascii="Calibri" w:eastAsia="Times New Roman" w:hAnsi="Calibri" w:cs="Times New Roman"/>
                <w:b w:val="0"/>
                <w:color w:val="000000"/>
              </w:rPr>
              <w:t>G</w:t>
            </w:r>
            <w:r w:rsidR="003E614C" w:rsidRPr="003E614C">
              <w:rPr>
                <w:rFonts w:ascii="Calibri" w:eastAsia="Times New Roman" w:hAnsi="Calibri" w:cs="Times New Roman"/>
                <w:b w:val="0"/>
                <w:color w:val="000000"/>
              </w:rPr>
              <w:t>esamt</w:t>
            </w:r>
            <w:r>
              <w:rPr>
                <w:rFonts w:ascii="Calibri" w:eastAsia="Times New Roman" w:hAnsi="Calibri" w:cs="Times New Roman"/>
                <w:b w:val="0"/>
                <w:color w:val="000000"/>
              </w:rPr>
              <w:t>heit verzeichneter Abschlüsse</w:t>
            </w:r>
          </w:p>
        </w:tc>
        <w:tc>
          <w:tcPr>
            <w:tcW w:w="2410" w:type="dxa"/>
            <w:noWrap/>
            <w:hideMark/>
          </w:tcPr>
          <w:p w:rsidR="003E614C" w:rsidRPr="00474355" w:rsidRDefault="003E614C" w:rsidP="005624E5">
            <w:pPr>
              <w:jc w:val="center"/>
              <w:cnfStyle w:val="000000100000"/>
              <w:rPr>
                <w:rFonts w:ascii="Calibri" w:eastAsia="Times New Roman" w:hAnsi="Calibri" w:cs="Times New Roman"/>
                <w:color w:val="000000"/>
              </w:rPr>
            </w:pPr>
            <w:r w:rsidRPr="00474355">
              <w:rPr>
                <w:rFonts w:ascii="Calibri" w:eastAsia="Times New Roman" w:hAnsi="Calibri" w:cs="Times New Roman"/>
                <w:color w:val="000000"/>
              </w:rPr>
              <w:t>1050</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50,6</w:t>
            </w:r>
          </w:p>
        </w:tc>
      </w:tr>
      <w:tr w:rsidR="003E614C" w:rsidRPr="00276667" w:rsidTr="005624E5">
        <w:trPr>
          <w:trHeight w:val="300"/>
        </w:trPr>
        <w:tc>
          <w:tcPr>
            <w:cnfStyle w:val="001000000000"/>
            <w:tcW w:w="4106" w:type="dxa"/>
            <w:noWrap/>
            <w:hideMark/>
          </w:tcPr>
          <w:p w:rsidR="003E614C" w:rsidRPr="003E614C" w:rsidRDefault="005624E5" w:rsidP="005624E5">
            <w:pPr>
              <w:rPr>
                <w:rFonts w:ascii="Calibri" w:eastAsia="Times New Roman" w:hAnsi="Calibri" w:cs="Times New Roman"/>
                <w:b w:val="0"/>
                <w:color w:val="000000"/>
              </w:rPr>
            </w:pPr>
            <w:r>
              <w:rPr>
                <w:rFonts w:ascii="Calibri" w:eastAsia="Times New Roman" w:hAnsi="Calibri" w:cs="Times New Roman"/>
                <w:b w:val="0"/>
                <w:color w:val="000000"/>
              </w:rPr>
              <w:t>Nicht verzeichnet</w:t>
            </w:r>
          </w:p>
        </w:tc>
        <w:tc>
          <w:tcPr>
            <w:tcW w:w="2410" w:type="dxa"/>
            <w:noWrap/>
            <w:hideMark/>
          </w:tcPr>
          <w:p w:rsidR="003E614C" w:rsidRPr="00474355" w:rsidRDefault="00474355" w:rsidP="005624E5">
            <w:pPr>
              <w:jc w:val="center"/>
              <w:cnfStyle w:val="000000000000"/>
              <w:rPr>
                <w:rFonts w:ascii="Calibri" w:eastAsia="Times New Roman" w:hAnsi="Calibri" w:cs="Times New Roman"/>
                <w:color w:val="000000"/>
              </w:rPr>
            </w:pPr>
            <w:r w:rsidRPr="00474355">
              <w:rPr>
                <w:rFonts w:ascii="Calibri" w:eastAsia="Times New Roman" w:hAnsi="Calibri" w:cs="Times New Roman"/>
                <w:color w:val="000000"/>
              </w:rPr>
              <w:t>1025</w:t>
            </w:r>
          </w:p>
        </w:tc>
        <w:tc>
          <w:tcPr>
            <w:tcW w:w="2268" w:type="dxa"/>
            <w:noWrap/>
            <w:hideMark/>
          </w:tcPr>
          <w:p w:rsidR="003E614C" w:rsidRPr="00276667" w:rsidRDefault="003E614C" w:rsidP="005624E5">
            <w:pPr>
              <w:jc w:val="center"/>
              <w:cnfStyle w:val="000000000000"/>
              <w:rPr>
                <w:rFonts w:ascii="Calibri" w:eastAsia="Times New Roman" w:hAnsi="Calibri" w:cs="Times New Roman"/>
                <w:color w:val="000000"/>
              </w:rPr>
            </w:pPr>
            <w:r w:rsidRPr="00276667">
              <w:rPr>
                <w:rFonts w:ascii="Calibri" w:eastAsia="Times New Roman" w:hAnsi="Calibri" w:cs="Times New Roman"/>
                <w:color w:val="000000"/>
              </w:rPr>
              <w:t>49,4</w:t>
            </w:r>
          </w:p>
        </w:tc>
      </w:tr>
      <w:tr w:rsidR="003E614C" w:rsidRPr="00276667" w:rsidTr="005624E5">
        <w:trPr>
          <w:cnfStyle w:val="000000100000"/>
          <w:trHeight w:val="300"/>
        </w:trPr>
        <w:tc>
          <w:tcPr>
            <w:cnfStyle w:val="001000000000"/>
            <w:tcW w:w="4106" w:type="dxa"/>
            <w:noWrap/>
            <w:hideMark/>
          </w:tcPr>
          <w:p w:rsidR="003E614C" w:rsidRPr="003E614C" w:rsidRDefault="005624E5" w:rsidP="005624E5">
            <w:pPr>
              <w:rPr>
                <w:rFonts w:ascii="Calibri" w:eastAsia="Times New Roman" w:hAnsi="Calibri" w:cs="Times New Roman"/>
                <w:b w:val="0"/>
                <w:color w:val="000000"/>
              </w:rPr>
            </w:pPr>
            <w:r>
              <w:rPr>
                <w:rFonts w:ascii="Calibri" w:eastAsia="Times New Roman" w:hAnsi="Calibri" w:cs="Times New Roman"/>
                <w:b w:val="0"/>
                <w:color w:val="000000"/>
              </w:rPr>
              <w:t>G</w:t>
            </w:r>
            <w:r w:rsidR="003E614C" w:rsidRPr="003E614C">
              <w:rPr>
                <w:rFonts w:ascii="Calibri" w:eastAsia="Times New Roman" w:hAnsi="Calibri" w:cs="Times New Roman"/>
                <w:b w:val="0"/>
                <w:color w:val="000000"/>
              </w:rPr>
              <w:t>esamt</w:t>
            </w:r>
          </w:p>
        </w:tc>
        <w:tc>
          <w:tcPr>
            <w:tcW w:w="2410" w:type="dxa"/>
            <w:noWrap/>
            <w:hideMark/>
          </w:tcPr>
          <w:p w:rsidR="003E614C" w:rsidRPr="00474355" w:rsidRDefault="00166BA1" w:rsidP="005624E5">
            <w:pPr>
              <w:jc w:val="center"/>
              <w:cnfStyle w:val="000000100000"/>
              <w:rPr>
                <w:rFonts w:ascii="Calibri" w:eastAsia="Times New Roman" w:hAnsi="Calibri" w:cs="Times New Roman"/>
                <w:color w:val="000000"/>
              </w:rPr>
            </w:pPr>
            <w:r w:rsidRPr="00474355">
              <w:rPr>
                <w:rFonts w:ascii="Calibri" w:eastAsia="Times New Roman" w:hAnsi="Calibri" w:cs="Times New Roman"/>
                <w:color w:val="000000"/>
              </w:rPr>
              <w:t>2075</w:t>
            </w:r>
          </w:p>
        </w:tc>
        <w:tc>
          <w:tcPr>
            <w:tcW w:w="2268" w:type="dxa"/>
            <w:noWrap/>
            <w:hideMark/>
          </w:tcPr>
          <w:p w:rsidR="003E614C" w:rsidRPr="00276667" w:rsidRDefault="003E614C" w:rsidP="005624E5">
            <w:pPr>
              <w:jc w:val="center"/>
              <w:cnfStyle w:val="000000100000"/>
              <w:rPr>
                <w:rFonts w:ascii="Calibri" w:eastAsia="Times New Roman" w:hAnsi="Calibri" w:cs="Times New Roman"/>
                <w:color w:val="000000"/>
              </w:rPr>
            </w:pPr>
            <w:r w:rsidRPr="00276667">
              <w:rPr>
                <w:rFonts w:ascii="Calibri" w:eastAsia="Times New Roman" w:hAnsi="Calibri" w:cs="Times New Roman"/>
                <w:color w:val="000000"/>
              </w:rPr>
              <w:t>100</w:t>
            </w:r>
          </w:p>
        </w:tc>
      </w:tr>
    </w:tbl>
    <w:p w:rsidR="003E614C" w:rsidRPr="00276667" w:rsidRDefault="003E614C" w:rsidP="003E614C">
      <w:pPr>
        <w:jc w:val="both"/>
        <w:rPr>
          <w:rFonts w:ascii="Calibri" w:hAnsi="Calibri"/>
          <w:b/>
        </w:rPr>
      </w:pPr>
    </w:p>
    <w:p w:rsidR="003E614C" w:rsidRDefault="003E614C" w:rsidP="00105DAA">
      <w:pPr>
        <w:jc w:val="both"/>
        <w:rPr>
          <w:rFonts w:ascii="Calibri" w:hAnsi="Calibri"/>
          <w:sz w:val="22"/>
          <w:szCs w:val="22"/>
        </w:rPr>
      </w:pPr>
    </w:p>
    <w:p w:rsidR="00E446F4" w:rsidRPr="00276667" w:rsidRDefault="00E446F4" w:rsidP="00E446F4">
      <w:pPr>
        <w:jc w:val="both"/>
        <w:rPr>
          <w:rFonts w:ascii="Calibri" w:hAnsi="Calibri"/>
          <w:b/>
          <w:i/>
        </w:rPr>
      </w:pPr>
      <w:r w:rsidRPr="00960B52">
        <w:rPr>
          <w:rFonts w:ascii="Calibri" w:hAnsi="Calibri"/>
          <w:b/>
          <w:i/>
        </w:rPr>
        <w:t>Abbildung</w:t>
      </w:r>
      <w:r w:rsidR="00AE08D5" w:rsidRPr="00960B52">
        <w:rPr>
          <w:rFonts w:ascii="Calibri" w:hAnsi="Calibri"/>
          <w:b/>
          <w:i/>
        </w:rPr>
        <w:t xml:space="preserve"> </w:t>
      </w:r>
      <w:r w:rsidR="00F42546">
        <w:rPr>
          <w:rFonts w:ascii="Calibri" w:hAnsi="Calibri"/>
          <w:b/>
          <w:i/>
        </w:rPr>
        <w:t>1</w:t>
      </w:r>
      <w:r w:rsidRPr="00960B52">
        <w:rPr>
          <w:rFonts w:ascii="Calibri" w:hAnsi="Calibri"/>
          <w:b/>
          <w:i/>
        </w:rPr>
        <w:t>: Durchführungsform Beratung (N = 2075)</w:t>
      </w:r>
    </w:p>
    <w:p w:rsidR="00E446F4" w:rsidRPr="00276667" w:rsidRDefault="00E446F4" w:rsidP="00E446F4">
      <w:pPr>
        <w:rPr>
          <w:rFonts w:ascii="Calibri" w:hAnsi="Calibri"/>
          <w:b/>
        </w:rPr>
      </w:pPr>
    </w:p>
    <w:p w:rsidR="00960B52" w:rsidRDefault="00960B52" w:rsidP="00960B52">
      <w:pPr>
        <w:rPr>
          <w:b/>
        </w:rPr>
      </w:pPr>
      <w:r>
        <w:rPr>
          <w:noProof/>
        </w:rPr>
        <w:drawing>
          <wp:inline distT="0" distB="0" distL="0" distR="0">
            <wp:extent cx="4581525" cy="2752725"/>
            <wp:effectExtent l="0" t="0" r="9525" b="9525"/>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46F4" w:rsidRDefault="00E446F4" w:rsidP="00105DAA">
      <w:pPr>
        <w:jc w:val="both"/>
        <w:rPr>
          <w:rFonts w:ascii="Calibri" w:hAnsi="Calibri"/>
          <w:sz w:val="22"/>
          <w:szCs w:val="22"/>
        </w:rPr>
      </w:pPr>
    </w:p>
    <w:p w:rsidR="00E446F4" w:rsidRDefault="00E446F4" w:rsidP="00105DAA">
      <w:pPr>
        <w:jc w:val="both"/>
        <w:rPr>
          <w:rFonts w:ascii="Calibri" w:hAnsi="Calibri"/>
          <w:sz w:val="22"/>
          <w:szCs w:val="22"/>
        </w:rPr>
      </w:pPr>
    </w:p>
    <w:p w:rsidR="00E446F4" w:rsidRDefault="00E446F4" w:rsidP="00105DAA">
      <w:pPr>
        <w:jc w:val="both"/>
        <w:rPr>
          <w:rFonts w:ascii="Calibri" w:hAnsi="Calibri"/>
          <w:sz w:val="22"/>
          <w:szCs w:val="22"/>
        </w:rPr>
      </w:pPr>
    </w:p>
    <w:p w:rsidR="00E446F4" w:rsidRDefault="00E446F4" w:rsidP="00105DAA">
      <w:pPr>
        <w:jc w:val="both"/>
        <w:rPr>
          <w:rFonts w:ascii="Calibri" w:hAnsi="Calibri"/>
          <w:sz w:val="22"/>
          <w:szCs w:val="22"/>
        </w:rPr>
      </w:pPr>
    </w:p>
    <w:p w:rsidR="00E446F4" w:rsidRDefault="00E446F4" w:rsidP="00105DAA">
      <w:pPr>
        <w:jc w:val="both"/>
        <w:rPr>
          <w:rFonts w:ascii="Calibri" w:hAnsi="Calibri"/>
          <w:sz w:val="22"/>
          <w:szCs w:val="22"/>
        </w:rPr>
      </w:pPr>
    </w:p>
    <w:p w:rsidR="00E446F4" w:rsidRDefault="00E446F4" w:rsidP="00105DAA">
      <w:pPr>
        <w:jc w:val="both"/>
        <w:rPr>
          <w:rFonts w:ascii="Calibri" w:hAnsi="Calibri"/>
          <w:sz w:val="22"/>
          <w:szCs w:val="22"/>
        </w:rPr>
      </w:pPr>
    </w:p>
    <w:p w:rsidR="00D5398C" w:rsidRPr="00276667" w:rsidRDefault="00D5398C" w:rsidP="00D5398C">
      <w:pPr>
        <w:jc w:val="both"/>
        <w:rPr>
          <w:rFonts w:ascii="Calibri" w:hAnsi="Calibri"/>
          <w:b/>
          <w:i/>
        </w:rPr>
      </w:pPr>
      <w:r>
        <w:rPr>
          <w:rFonts w:ascii="Calibri" w:hAnsi="Calibri"/>
          <w:b/>
          <w:i/>
        </w:rPr>
        <w:t>Abbildung</w:t>
      </w:r>
      <w:r w:rsidR="00AE08D5">
        <w:rPr>
          <w:rFonts w:ascii="Calibri" w:hAnsi="Calibri"/>
          <w:b/>
          <w:i/>
        </w:rPr>
        <w:t xml:space="preserve"> </w:t>
      </w:r>
      <w:r w:rsidR="00F42546">
        <w:rPr>
          <w:rFonts w:ascii="Calibri" w:hAnsi="Calibri"/>
          <w:b/>
          <w:i/>
        </w:rPr>
        <w:t>2</w:t>
      </w:r>
      <w:r>
        <w:rPr>
          <w:rFonts w:ascii="Calibri" w:hAnsi="Calibri"/>
          <w:b/>
          <w:i/>
        </w:rPr>
        <w:t xml:space="preserve">: Verteilung nach Geschlecht, Paar- und Familienberatung (N </w:t>
      </w:r>
      <w:r w:rsidRPr="00276667">
        <w:rPr>
          <w:rFonts w:ascii="Calibri" w:hAnsi="Calibri"/>
          <w:b/>
          <w:i/>
        </w:rPr>
        <w:t>=</w:t>
      </w:r>
      <w:r>
        <w:rPr>
          <w:rFonts w:ascii="Calibri" w:hAnsi="Calibri"/>
          <w:b/>
          <w:i/>
        </w:rPr>
        <w:t xml:space="preserve"> </w:t>
      </w:r>
      <w:r w:rsidRPr="00276667">
        <w:rPr>
          <w:rFonts w:ascii="Calibri" w:hAnsi="Calibri"/>
          <w:b/>
          <w:i/>
        </w:rPr>
        <w:t>2065)</w:t>
      </w:r>
    </w:p>
    <w:p w:rsidR="00D5398C" w:rsidRPr="00276667" w:rsidRDefault="00D5398C" w:rsidP="00D5398C">
      <w:pPr>
        <w:rPr>
          <w:rFonts w:ascii="Calibri" w:hAnsi="Calibri"/>
        </w:rPr>
      </w:pPr>
    </w:p>
    <w:p w:rsidR="00D5398C" w:rsidRPr="00276667" w:rsidRDefault="00D5398C" w:rsidP="00D5398C">
      <w:pPr>
        <w:rPr>
          <w:rFonts w:ascii="Calibri" w:hAnsi="Calibri"/>
        </w:rPr>
      </w:pPr>
      <w:r w:rsidRPr="00276667">
        <w:rPr>
          <w:rFonts w:ascii="Calibri" w:hAnsi="Calibri"/>
          <w:noProof/>
        </w:rPr>
        <w:drawing>
          <wp:inline distT="0" distB="0" distL="0" distR="0">
            <wp:extent cx="4572000" cy="2743200"/>
            <wp:effectExtent l="0" t="0" r="0" b="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398C" w:rsidRPr="00276667" w:rsidRDefault="00D5398C" w:rsidP="00D5398C">
      <w:pPr>
        <w:rPr>
          <w:rFonts w:ascii="Calibri" w:hAnsi="Calibri"/>
        </w:rPr>
      </w:pPr>
    </w:p>
    <w:p w:rsidR="00D5398C" w:rsidRDefault="00D5398C" w:rsidP="00D5398C">
      <w:pPr>
        <w:rPr>
          <w:rFonts w:ascii="Calibri" w:hAnsi="Calibri"/>
        </w:rPr>
      </w:pPr>
    </w:p>
    <w:p w:rsidR="00960DA5" w:rsidRDefault="00960DA5" w:rsidP="00D5398C">
      <w:pPr>
        <w:rPr>
          <w:rFonts w:ascii="Calibri" w:hAnsi="Calibri"/>
        </w:rPr>
      </w:pPr>
    </w:p>
    <w:p w:rsidR="00960DA5" w:rsidRDefault="00960DA5" w:rsidP="00D5398C">
      <w:pPr>
        <w:rPr>
          <w:rFonts w:ascii="Calibri" w:hAnsi="Calibri"/>
        </w:rPr>
      </w:pPr>
    </w:p>
    <w:p w:rsidR="00960DA5" w:rsidRDefault="00960DA5" w:rsidP="00D5398C">
      <w:pPr>
        <w:rPr>
          <w:rFonts w:ascii="Calibri" w:hAnsi="Calibri"/>
        </w:rPr>
      </w:pPr>
    </w:p>
    <w:p w:rsidR="00D5398C" w:rsidRDefault="00D5398C" w:rsidP="00D5398C">
      <w:pPr>
        <w:rPr>
          <w:rFonts w:ascii="Calibri" w:hAnsi="Calibri"/>
        </w:rPr>
      </w:pPr>
    </w:p>
    <w:p w:rsidR="00AE08D5" w:rsidRDefault="00AE08D5" w:rsidP="00D5398C">
      <w:pPr>
        <w:rPr>
          <w:rFonts w:ascii="Calibri" w:hAnsi="Calibri"/>
        </w:rPr>
      </w:pPr>
    </w:p>
    <w:p w:rsidR="00AE08D5" w:rsidRDefault="00AE08D5" w:rsidP="00D5398C">
      <w:pPr>
        <w:rPr>
          <w:rFonts w:ascii="Calibri" w:hAnsi="Calibri"/>
        </w:rPr>
      </w:pPr>
    </w:p>
    <w:p w:rsidR="00FC5967" w:rsidRDefault="00D5398C" w:rsidP="00D5398C">
      <w:pPr>
        <w:jc w:val="both"/>
        <w:rPr>
          <w:rFonts w:ascii="Calibri" w:hAnsi="Calibri"/>
          <w:b/>
          <w:i/>
        </w:rPr>
      </w:pPr>
      <w:r>
        <w:rPr>
          <w:rFonts w:ascii="Calibri" w:hAnsi="Calibri"/>
          <w:b/>
          <w:i/>
        </w:rPr>
        <w:lastRenderedPageBreak/>
        <w:t>Abbildung</w:t>
      </w:r>
      <w:r w:rsidR="00FC5967">
        <w:rPr>
          <w:rFonts w:ascii="Calibri" w:hAnsi="Calibri"/>
          <w:b/>
          <w:i/>
        </w:rPr>
        <w:t xml:space="preserve"> </w:t>
      </w:r>
      <w:r w:rsidR="00F42546">
        <w:rPr>
          <w:rFonts w:ascii="Calibri" w:hAnsi="Calibri"/>
          <w:b/>
          <w:i/>
        </w:rPr>
        <w:t>3</w:t>
      </w:r>
      <w:r>
        <w:rPr>
          <w:rFonts w:ascii="Calibri" w:hAnsi="Calibri"/>
          <w:b/>
          <w:i/>
        </w:rPr>
        <w:t xml:space="preserve">: Wohnort nach Stadt Stuttgart, Region Stuttgart, Überregional und Ausland </w:t>
      </w:r>
    </w:p>
    <w:p w:rsidR="00D5398C" w:rsidRPr="00276667" w:rsidRDefault="00D5398C" w:rsidP="00D5398C">
      <w:pPr>
        <w:jc w:val="both"/>
        <w:rPr>
          <w:rFonts w:ascii="Calibri" w:hAnsi="Calibri"/>
          <w:b/>
          <w:i/>
        </w:rPr>
      </w:pPr>
      <w:r>
        <w:rPr>
          <w:rFonts w:ascii="Calibri" w:hAnsi="Calibri"/>
          <w:b/>
          <w:i/>
        </w:rPr>
        <w:t xml:space="preserve">(N </w:t>
      </w:r>
      <w:r w:rsidRPr="00276667">
        <w:rPr>
          <w:rFonts w:ascii="Calibri" w:hAnsi="Calibri"/>
          <w:b/>
          <w:i/>
        </w:rPr>
        <w:t>=</w:t>
      </w:r>
      <w:r>
        <w:rPr>
          <w:rFonts w:ascii="Calibri" w:hAnsi="Calibri"/>
          <w:b/>
          <w:i/>
        </w:rPr>
        <w:t xml:space="preserve"> </w:t>
      </w:r>
      <w:r w:rsidRPr="00276667">
        <w:rPr>
          <w:rFonts w:ascii="Calibri" w:hAnsi="Calibri"/>
          <w:b/>
          <w:i/>
        </w:rPr>
        <w:t>2075)</w:t>
      </w:r>
    </w:p>
    <w:p w:rsidR="00D5398C" w:rsidRPr="00276667" w:rsidRDefault="00D5398C" w:rsidP="00D5398C">
      <w:pPr>
        <w:rPr>
          <w:rFonts w:ascii="Calibri" w:hAnsi="Calibri"/>
          <w:b/>
        </w:rPr>
      </w:pPr>
    </w:p>
    <w:p w:rsidR="00D5398C" w:rsidRPr="00276667" w:rsidRDefault="00D5398C" w:rsidP="00D5398C">
      <w:pPr>
        <w:rPr>
          <w:rFonts w:ascii="Calibri" w:hAnsi="Calibri"/>
          <w:b/>
        </w:rPr>
      </w:pPr>
      <w:r w:rsidRPr="00276667">
        <w:rPr>
          <w:rFonts w:ascii="Calibri" w:hAnsi="Calibri"/>
          <w:noProof/>
        </w:rPr>
        <w:drawing>
          <wp:inline distT="0" distB="0" distL="0" distR="0">
            <wp:extent cx="4572000" cy="2743200"/>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398C" w:rsidRDefault="00D5398C" w:rsidP="00D5398C">
      <w:pPr>
        <w:rPr>
          <w:rFonts w:ascii="Calibri" w:hAnsi="Calibri"/>
        </w:rPr>
      </w:pPr>
    </w:p>
    <w:p w:rsidR="00D5398C" w:rsidRDefault="00D5398C" w:rsidP="00D5398C">
      <w:pPr>
        <w:rPr>
          <w:rFonts w:ascii="Calibri" w:hAnsi="Calibri"/>
        </w:rPr>
      </w:pPr>
    </w:p>
    <w:p w:rsidR="00D5398C" w:rsidRDefault="00D5398C" w:rsidP="00D5398C">
      <w:pPr>
        <w:rPr>
          <w:rFonts w:ascii="Calibri" w:hAnsi="Calibri"/>
        </w:rPr>
      </w:pPr>
    </w:p>
    <w:p w:rsidR="00F3524B" w:rsidRPr="00276667" w:rsidRDefault="00F3524B" w:rsidP="00D5398C">
      <w:pPr>
        <w:rPr>
          <w:rFonts w:ascii="Calibri" w:hAnsi="Calibri"/>
        </w:rPr>
      </w:pPr>
    </w:p>
    <w:p w:rsidR="00D5398C" w:rsidRPr="00276667" w:rsidRDefault="00D5398C" w:rsidP="00D5398C">
      <w:pPr>
        <w:jc w:val="both"/>
        <w:rPr>
          <w:rFonts w:ascii="Calibri" w:hAnsi="Calibri"/>
          <w:b/>
          <w:i/>
        </w:rPr>
      </w:pPr>
      <w:r>
        <w:rPr>
          <w:rFonts w:ascii="Calibri" w:hAnsi="Calibri"/>
          <w:b/>
          <w:i/>
        </w:rPr>
        <w:t>Abbildung</w:t>
      </w:r>
      <w:r w:rsidR="00FC5967">
        <w:rPr>
          <w:rFonts w:ascii="Calibri" w:hAnsi="Calibri"/>
          <w:b/>
          <w:i/>
        </w:rPr>
        <w:t xml:space="preserve"> </w:t>
      </w:r>
      <w:r w:rsidR="00F42546">
        <w:rPr>
          <w:rFonts w:ascii="Calibri" w:hAnsi="Calibri"/>
          <w:b/>
          <w:i/>
        </w:rPr>
        <w:t>4</w:t>
      </w:r>
      <w:r>
        <w:rPr>
          <w:rFonts w:ascii="Calibri" w:hAnsi="Calibri"/>
          <w:b/>
          <w:i/>
        </w:rPr>
        <w:t xml:space="preserve">: Herkunft aus EU-Staaten und Drittstaaten (N </w:t>
      </w:r>
      <w:r w:rsidRPr="00276667">
        <w:rPr>
          <w:rFonts w:ascii="Calibri" w:hAnsi="Calibri"/>
          <w:b/>
          <w:i/>
        </w:rPr>
        <w:t>=</w:t>
      </w:r>
      <w:r>
        <w:rPr>
          <w:rFonts w:ascii="Calibri" w:hAnsi="Calibri"/>
          <w:b/>
          <w:i/>
        </w:rPr>
        <w:t xml:space="preserve"> </w:t>
      </w:r>
      <w:r w:rsidRPr="00276667">
        <w:rPr>
          <w:rFonts w:ascii="Calibri" w:hAnsi="Calibri"/>
          <w:b/>
          <w:i/>
        </w:rPr>
        <w:t>2075)</w:t>
      </w:r>
    </w:p>
    <w:p w:rsidR="00D5398C" w:rsidRDefault="00D5398C" w:rsidP="00D5398C">
      <w:pPr>
        <w:rPr>
          <w:rFonts w:ascii="Calibri" w:hAnsi="Calibri"/>
        </w:rPr>
      </w:pPr>
      <w:bookmarkStart w:id="0" w:name="_GoBack"/>
      <w:bookmarkEnd w:id="0"/>
    </w:p>
    <w:p w:rsidR="00F3524B" w:rsidRDefault="00F3524B" w:rsidP="00F3524B">
      <w:r>
        <w:rPr>
          <w:noProof/>
        </w:rPr>
        <w:drawing>
          <wp:inline distT="0" distB="0" distL="0" distR="0">
            <wp:extent cx="4762500" cy="2905125"/>
            <wp:effectExtent l="0" t="0" r="0" b="9525"/>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398C" w:rsidRDefault="00D5398C" w:rsidP="00D5398C">
      <w:pPr>
        <w:rPr>
          <w:rFonts w:ascii="Calibri" w:hAnsi="Calibri"/>
        </w:rPr>
      </w:pPr>
    </w:p>
    <w:p w:rsidR="00960DA5" w:rsidRDefault="00960DA5" w:rsidP="00D5398C">
      <w:pPr>
        <w:rPr>
          <w:rFonts w:ascii="Calibri" w:hAnsi="Calibri"/>
        </w:rPr>
      </w:pPr>
    </w:p>
    <w:p w:rsidR="00960DA5" w:rsidRDefault="00960DA5" w:rsidP="00D5398C">
      <w:pPr>
        <w:rPr>
          <w:rFonts w:ascii="Calibri" w:hAnsi="Calibri"/>
        </w:rPr>
      </w:pPr>
    </w:p>
    <w:p w:rsidR="00960DA5" w:rsidRDefault="00960DA5" w:rsidP="00D5398C">
      <w:pPr>
        <w:rPr>
          <w:rFonts w:ascii="Calibri" w:hAnsi="Calibri"/>
        </w:rPr>
      </w:pPr>
    </w:p>
    <w:p w:rsidR="00960DA5" w:rsidRDefault="00960DA5" w:rsidP="00D5398C">
      <w:pPr>
        <w:rPr>
          <w:rFonts w:ascii="Calibri" w:hAnsi="Calibri"/>
        </w:rPr>
      </w:pPr>
    </w:p>
    <w:p w:rsidR="00960DA5" w:rsidRDefault="00960DA5" w:rsidP="00D5398C">
      <w:pPr>
        <w:rPr>
          <w:rFonts w:ascii="Calibri" w:hAnsi="Calibri"/>
        </w:rPr>
      </w:pPr>
    </w:p>
    <w:p w:rsidR="00960DA5" w:rsidRDefault="00960DA5" w:rsidP="00D5398C">
      <w:pPr>
        <w:rPr>
          <w:rFonts w:ascii="Calibri" w:hAnsi="Calibri"/>
        </w:rPr>
      </w:pPr>
    </w:p>
    <w:p w:rsidR="00960DA5" w:rsidRDefault="00960DA5" w:rsidP="00D5398C">
      <w:pPr>
        <w:rPr>
          <w:rFonts w:ascii="Calibri" w:hAnsi="Calibri"/>
        </w:rPr>
      </w:pPr>
    </w:p>
    <w:p w:rsidR="00960DA5" w:rsidRDefault="00960DA5" w:rsidP="00D5398C">
      <w:pPr>
        <w:rPr>
          <w:rFonts w:ascii="Calibri" w:hAnsi="Calibri"/>
        </w:rPr>
      </w:pPr>
    </w:p>
    <w:p w:rsidR="00960DA5" w:rsidRPr="00276667" w:rsidRDefault="00960DA5" w:rsidP="00960DA5">
      <w:pPr>
        <w:jc w:val="both"/>
        <w:rPr>
          <w:rFonts w:ascii="Calibri" w:hAnsi="Calibri"/>
          <w:b/>
          <w:i/>
        </w:rPr>
      </w:pPr>
      <w:r>
        <w:rPr>
          <w:rFonts w:ascii="Calibri" w:hAnsi="Calibri"/>
          <w:b/>
          <w:i/>
        </w:rPr>
        <w:lastRenderedPageBreak/>
        <w:t>Abbildung</w:t>
      </w:r>
      <w:r w:rsidR="00FC5967">
        <w:rPr>
          <w:rFonts w:ascii="Calibri" w:hAnsi="Calibri"/>
          <w:b/>
          <w:i/>
        </w:rPr>
        <w:t xml:space="preserve"> </w:t>
      </w:r>
      <w:r w:rsidR="00F42546">
        <w:rPr>
          <w:rFonts w:ascii="Calibri" w:hAnsi="Calibri"/>
          <w:b/>
          <w:i/>
        </w:rPr>
        <w:t>5</w:t>
      </w:r>
      <w:r>
        <w:rPr>
          <w:rFonts w:ascii="Calibri" w:hAnsi="Calibri"/>
          <w:b/>
          <w:i/>
        </w:rPr>
        <w:t xml:space="preserve">: Grund des Besuches (N </w:t>
      </w:r>
      <w:r w:rsidRPr="00276667">
        <w:rPr>
          <w:rFonts w:ascii="Calibri" w:hAnsi="Calibri"/>
          <w:b/>
          <w:i/>
        </w:rPr>
        <w:t>=</w:t>
      </w:r>
      <w:r>
        <w:rPr>
          <w:rFonts w:ascii="Calibri" w:hAnsi="Calibri"/>
          <w:b/>
          <w:i/>
        </w:rPr>
        <w:t xml:space="preserve"> </w:t>
      </w:r>
      <w:r w:rsidRPr="00276667">
        <w:rPr>
          <w:rFonts w:ascii="Calibri" w:hAnsi="Calibri"/>
          <w:b/>
          <w:i/>
        </w:rPr>
        <w:t>2944</w:t>
      </w:r>
      <w:r>
        <w:rPr>
          <w:rFonts w:ascii="Calibri" w:hAnsi="Calibri"/>
          <w:b/>
          <w:i/>
        </w:rPr>
        <w:t>; Mehrfachnennungen</w:t>
      </w:r>
      <w:r w:rsidRPr="00276667">
        <w:rPr>
          <w:rFonts w:ascii="Calibri" w:hAnsi="Calibri"/>
          <w:b/>
          <w:i/>
        </w:rPr>
        <w:t>)</w:t>
      </w:r>
    </w:p>
    <w:p w:rsidR="00960DA5" w:rsidRPr="00276667" w:rsidRDefault="00960DA5" w:rsidP="00960DA5">
      <w:pPr>
        <w:rPr>
          <w:rFonts w:ascii="Calibri" w:hAnsi="Calibri"/>
        </w:rPr>
      </w:pPr>
    </w:p>
    <w:p w:rsidR="00960DA5" w:rsidRPr="00276667" w:rsidRDefault="00960DA5" w:rsidP="00960DA5">
      <w:pPr>
        <w:rPr>
          <w:rFonts w:ascii="Calibri" w:hAnsi="Calibri"/>
        </w:rPr>
      </w:pPr>
      <w:r w:rsidRPr="00276667">
        <w:rPr>
          <w:rFonts w:ascii="Calibri" w:hAnsi="Calibri"/>
          <w:noProof/>
        </w:rPr>
        <w:drawing>
          <wp:inline distT="0" distB="0" distL="0" distR="0">
            <wp:extent cx="4572000" cy="2743200"/>
            <wp:effectExtent l="0" t="0" r="0" b="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398C" w:rsidRDefault="00D5398C" w:rsidP="00D5398C">
      <w:pPr>
        <w:rPr>
          <w:rFonts w:ascii="Calibri" w:hAnsi="Calibri"/>
        </w:rPr>
      </w:pPr>
    </w:p>
    <w:p w:rsidR="00D5398C" w:rsidRDefault="00D5398C" w:rsidP="00D5398C">
      <w:pPr>
        <w:rPr>
          <w:rFonts w:ascii="Calibri" w:hAnsi="Calibri"/>
        </w:rPr>
      </w:pPr>
    </w:p>
    <w:p w:rsidR="00D5398C" w:rsidRDefault="00D5398C" w:rsidP="00D5398C">
      <w:pPr>
        <w:rPr>
          <w:rFonts w:ascii="Calibri" w:hAnsi="Calibri"/>
        </w:rPr>
      </w:pPr>
    </w:p>
    <w:p w:rsidR="00D5398C" w:rsidRDefault="00D5398C" w:rsidP="00D5398C">
      <w:pPr>
        <w:rPr>
          <w:rFonts w:ascii="Calibri" w:hAnsi="Calibri"/>
        </w:rPr>
      </w:pPr>
    </w:p>
    <w:p w:rsidR="00D5398C" w:rsidRDefault="00D5398C" w:rsidP="00D5398C">
      <w:pPr>
        <w:rPr>
          <w:rFonts w:ascii="Calibri" w:hAnsi="Calibri"/>
        </w:rPr>
      </w:pPr>
    </w:p>
    <w:p w:rsidR="00D5398C" w:rsidRPr="00276667" w:rsidRDefault="00D5398C" w:rsidP="00D5398C">
      <w:pPr>
        <w:rPr>
          <w:rFonts w:ascii="Calibri" w:hAnsi="Calibri"/>
        </w:rPr>
      </w:pPr>
    </w:p>
    <w:p w:rsidR="00D5398C" w:rsidRDefault="00D5398C" w:rsidP="00D5398C"/>
    <w:p w:rsidR="00960DA5" w:rsidRDefault="00960DA5" w:rsidP="00D5398C"/>
    <w:p w:rsidR="00960DA5" w:rsidRDefault="00960DA5" w:rsidP="00D5398C"/>
    <w:p w:rsidR="00960DA5" w:rsidRDefault="00960DA5" w:rsidP="00D5398C"/>
    <w:p w:rsidR="00960DA5" w:rsidRDefault="00960DA5" w:rsidP="00D5398C"/>
    <w:p w:rsidR="00D5398C" w:rsidRDefault="00D5398C" w:rsidP="00D5398C">
      <w:pPr>
        <w:rPr>
          <w:b/>
        </w:rPr>
      </w:pPr>
    </w:p>
    <w:p w:rsidR="00D5398C" w:rsidRDefault="00D5398C" w:rsidP="00D5398C">
      <w:pPr>
        <w:rPr>
          <w:b/>
        </w:rPr>
      </w:pPr>
    </w:p>
    <w:p w:rsidR="00D5398C" w:rsidRDefault="00D5398C" w:rsidP="00D5398C">
      <w:pPr>
        <w:rPr>
          <w:b/>
        </w:rPr>
      </w:pPr>
    </w:p>
    <w:p w:rsidR="00D5398C" w:rsidRDefault="00D5398C" w:rsidP="00D5398C">
      <w:pPr>
        <w:rPr>
          <w:b/>
        </w:rPr>
      </w:pPr>
    </w:p>
    <w:p w:rsidR="00D5398C" w:rsidRDefault="00D5398C" w:rsidP="00D5398C">
      <w:pPr>
        <w:rPr>
          <w:b/>
        </w:rPr>
      </w:pPr>
    </w:p>
    <w:p w:rsidR="00D5398C" w:rsidRDefault="00D5398C" w:rsidP="00D5398C">
      <w:pPr>
        <w:rPr>
          <w:b/>
        </w:rPr>
      </w:pPr>
    </w:p>
    <w:p w:rsidR="003E614C" w:rsidRDefault="003E614C" w:rsidP="00105DAA">
      <w:pPr>
        <w:jc w:val="both"/>
        <w:rPr>
          <w:rFonts w:ascii="Calibri" w:hAnsi="Calibri"/>
          <w:sz w:val="22"/>
          <w:szCs w:val="22"/>
        </w:rPr>
      </w:pPr>
    </w:p>
    <w:p w:rsidR="003E614C" w:rsidRDefault="003E614C" w:rsidP="00105DAA">
      <w:pPr>
        <w:jc w:val="both"/>
        <w:rPr>
          <w:rFonts w:ascii="Calibri" w:hAnsi="Calibri"/>
          <w:sz w:val="22"/>
          <w:szCs w:val="22"/>
        </w:rPr>
      </w:pPr>
    </w:p>
    <w:p w:rsidR="003E614C" w:rsidRDefault="003E614C" w:rsidP="00105DAA">
      <w:pPr>
        <w:jc w:val="both"/>
        <w:rPr>
          <w:rFonts w:ascii="Calibri" w:hAnsi="Calibri"/>
          <w:sz w:val="22"/>
          <w:szCs w:val="22"/>
        </w:rPr>
      </w:pPr>
    </w:p>
    <w:p w:rsidR="003E614C" w:rsidRDefault="003E614C" w:rsidP="00105DAA">
      <w:pPr>
        <w:jc w:val="both"/>
        <w:rPr>
          <w:rFonts w:ascii="Calibri" w:hAnsi="Calibri"/>
          <w:sz w:val="22"/>
          <w:szCs w:val="22"/>
        </w:rPr>
      </w:pPr>
    </w:p>
    <w:p w:rsidR="003E614C" w:rsidRDefault="003E614C" w:rsidP="00105DAA">
      <w:pPr>
        <w:jc w:val="both"/>
        <w:rPr>
          <w:rFonts w:ascii="Calibri" w:hAnsi="Calibri"/>
          <w:sz w:val="22"/>
          <w:szCs w:val="22"/>
        </w:rPr>
      </w:pPr>
    </w:p>
    <w:p w:rsidR="003E614C" w:rsidRDefault="003E614C" w:rsidP="00105DAA">
      <w:pPr>
        <w:jc w:val="both"/>
        <w:rPr>
          <w:rFonts w:ascii="Calibri" w:hAnsi="Calibri"/>
          <w:sz w:val="22"/>
          <w:szCs w:val="22"/>
        </w:rPr>
      </w:pPr>
    </w:p>
    <w:p w:rsidR="003E614C" w:rsidRDefault="003E614C" w:rsidP="00105DAA">
      <w:pPr>
        <w:jc w:val="both"/>
        <w:rPr>
          <w:rFonts w:ascii="Calibri" w:hAnsi="Calibri"/>
          <w:sz w:val="22"/>
          <w:szCs w:val="22"/>
        </w:rPr>
      </w:pPr>
    </w:p>
    <w:p w:rsidR="003E614C" w:rsidRDefault="003E614C" w:rsidP="00105DAA">
      <w:pPr>
        <w:jc w:val="both"/>
        <w:rPr>
          <w:rFonts w:ascii="Calibri" w:hAnsi="Calibri"/>
          <w:sz w:val="22"/>
          <w:szCs w:val="22"/>
        </w:rPr>
      </w:pPr>
    </w:p>
    <w:p w:rsidR="003E614C" w:rsidRDefault="003E614C" w:rsidP="00105DAA">
      <w:pPr>
        <w:jc w:val="both"/>
        <w:rPr>
          <w:rFonts w:ascii="Calibri" w:hAnsi="Calibri"/>
          <w:sz w:val="22"/>
          <w:szCs w:val="22"/>
        </w:rPr>
      </w:pPr>
    </w:p>
    <w:p w:rsidR="003E614C" w:rsidRDefault="003E614C" w:rsidP="00105DAA">
      <w:pPr>
        <w:jc w:val="both"/>
        <w:rPr>
          <w:rFonts w:ascii="Calibri" w:hAnsi="Calibri"/>
          <w:sz w:val="22"/>
          <w:szCs w:val="22"/>
        </w:rPr>
      </w:pPr>
    </w:p>
    <w:p w:rsidR="003E614C" w:rsidRPr="004F34E7" w:rsidRDefault="003E614C" w:rsidP="00105DAA">
      <w:pPr>
        <w:jc w:val="both"/>
        <w:rPr>
          <w:rFonts w:ascii="Calibri" w:hAnsi="Calibri"/>
          <w:sz w:val="22"/>
          <w:szCs w:val="22"/>
        </w:rPr>
      </w:pPr>
    </w:p>
    <w:sectPr w:rsidR="003E614C" w:rsidRPr="004F34E7" w:rsidSect="00B90C99">
      <w:footerReference w:type="default" r:id="rId14"/>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143" w:rsidRDefault="00783143" w:rsidP="0084373C">
      <w:r>
        <w:separator/>
      </w:r>
    </w:p>
  </w:endnote>
  <w:endnote w:type="continuationSeparator" w:id="0">
    <w:p w:rsidR="00783143" w:rsidRDefault="00783143" w:rsidP="008437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26"/>
      <w:gridCol w:w="1856"/>
    </w:tblGrid>
    <w:sdt>
      <w:sdtPr>
        <w:rPr>
          <w:rFonts w:asciiTheme="majorHAnsi" w:eastAsiaTheme="majorEastAsia" w:hAnsiTheme="majorHAnsi" w:cstheme="majorBidi"/>
          <w:sz w:val="20"/>
          <w:szCs w:val="20"/>
        </w:rPr>
        <w:id w:val="972480703"/>
        <w:docPartObj>
          <w:docPartGallery w:val="Page Numbers (Bottom of Page)"/>
          <w:docPartUnique/>
        </w:docPartObj>
      </w:sdtPr>
      <w:sdtEndPr>
        <w:rPr>
          <w:rFonts w:asciiTheme="minorHAnsi" w:eastAsiaTheme="minorEastAsia" w:hAnsiTheme="minorHAnsi" w:cstheme="minorBidi"/>
          <w:sz w:val="24"/>
          <w:szCs w:val="24"/>
        </w:rPr>
      </w:sdtEndPr>
      <w:sdtContent>
        <w:tr w:rsidR="00783143">
          <w:trPr>
            <w:trHeight w:val="727"/>
          </w:trPr>
          <w:tc>
            <w:tcPr>
              <w:tcW w:w="4000" w:type="pct"/>
              <w:tcBorders>
                <w:right w:val="triple" w:sz="4" w:space="0" w:color="4F81BD" w:themeColor="accent1"/>
              </w:tcBorders>
            </w:tcPr>
            <w:p w:rsidR="00783143" w:rsidRDefault="0078314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783143" w:rsidRDefault="00CE2FB6">
              <w:pPr>
                <w:tabs>
                  <w:tab w:val="left" w:pos="1490"/>
                </w:tabs>
                <w:rPr>
                  <w:rFonts w:asciiTheme="majorHAnsi" w:eastAsiaTheme="majorEastAsia" w:hAnsiTheme="majorHAnsi" w:cstheme="majorBidi"/>
                  <w:sz w:val="28"/>
                  <w:szCs w:val="28"/>
                </w:rPr>
              </w:pPr>
              <w:fldSimple w:instr="PAGE    \* MERGEFORMAT">
                <w:r w:rsidR="009D598A">
                  <w:rPr>
                    <w:noProof/>
                  </w:rPr>
                  <w:t>2</w:t>
                </w:r>
              </w:fldSimple>
            </w:p>
          </w:tc>
        </w:tr>
      </w:sdtContent>
    </w:sdt>
  </w:tbl>
  <w:p w:rsidR="00783143" w:rsidRDefault="0078314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143" w:rsidRDefault="00783143" w:rsidP="0084373C">
      <w:r>
        <w:separator/>
      </w:r>
    </w:p>
  </w:footnote>
  <w:footnote w:type="continuationSeparator" w:id="0">
    <w:p w:rsidR="00783143" w:rsidRDefault="00783143" w:rsidP="00843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182"/>
    <w:multiLevelType w:val="hybridMultilevel"/>
    <w:tmpl w:val="5ED2F6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265189"/>
    <w:multiLevelType w:val="hybridMultilevel"/>
    <w:tmpl w:val="91804F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DB4FEB"/>
    <w:multiLevelType w:val="hybridMultilevel"/>
    <w:tmpl w:val="5D7A78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4A6B7F"/>
    <w:multiLevelType w:val="hybridMultilevel"/>
    <w:tmpl w:val="6D7A84E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072E32C9"/>
    <w:multiLevelType w:val="hybridMultilevel"/>
    <w:tmpl w:val="FC2CDB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0C38621F"/>
    <w:multiLevelType w:val="hybridMultilevel"/>
    <w:tmpl w:val="1BFC0B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18AD6D13"/>
    <w:multiLevelType w:val="hybridMultilevel"/>
    <w:tmpl w:val="9E10433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BD721A"/>
    <w:multiLevelType w:val="hybridMultilevel"/>
    <w:tmpl w:val="22F43C3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2D8749B5"/>
    <w:multiLevelType w:val="hybridMultilevel"/>
    <w:tmpl w:val="D53E233E"/>
    <w:lvl w:ilvl="0" w:tplc="18B08E4E">
      <w:start w:val="3"/>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2C7B65"/>
    <w:multiLevelType w:val="hybridMultilevel"/>
    <w:tmpl w:val="6A40A928"/>
    <w:lvl w:ilvl="0" w:tplc="18B08E4E">
      <w:start w:val="3"/>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2D72A51"/>
    <w:multiLevelType w:val="hybridMultilevel"/>
    <w:tmpl w:val="059EB7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B92F12"/>
    <w:multiLevelType w:val="hybridMultilevel"/>
    <w:tmpl w:val="26EECF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3FF424CD"/>
    <w:multiLevelType w:val="hybridMultilevel"/>
    <w:tmpl w:val="307A17A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45D64E5"/>
    <w:multiLevelType w:val="multilevel"/>
    <w:tmpl w:val="DD8CD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8E450B"/>
    <w:multiLevelType w:val="hybridMultilevel"/>
    <w:tmpl w:val="C02874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74272E"/>
    <w:multiLevelType w:val="hybridMultilevel"/>
    <w:tmpl w:val="E3D2AB9C"/>
    <w:lvl w:ilvl="0" w:tplc="18B08E4E">
      <w:start w:val="3"/>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3F491B"/>
    <w:multiLevelType w:val="hybridMultilevel"/>
    <w:tmpl w:val="B9404B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505475A0"/>
    <w:multiLevelType w:val="hybridMultilevel"/>
    <w:tmpl w:val="8EE8C4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nsid w:val="50E63F48"/>
    <w:multiLevelType w:val="hybridMultilevel"/>
    <w:tmpl w:val="59D4A6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29A1A0B"/>
    <w:multiLevelType w:val="hybridMultilevel"/>
    <w:tmpl w:val="AD6C7496"/>
    <w:lvl w:ilvl="0" w:tplc="5A4214B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nsid w:val="52DC12B1"/>
    <w:multiLevelType w:val="hybridMultilevel"/>
    <w:tmpl w:val="CDACF7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89E706E"/>
    <w:multiLevelType w:val="hybridMultilevel"/>
    <w:tmpl w:val="1190279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nsid w:val="5D4865D1"/>
    <w:multiLevelType w:val="hybridMultilevel"/>
    <w:tmpl w:val="E99227C6"/>
    <w:lvl w:ilvl="0" w:tplc="0407000B">
      <w:start w:val="1"/>
      <w:numFmt w:val="bullet"/>
      <w:lvlText w:val=""/>
      <w:lvlJc w:val="left"/>
      <w:pPr>
        <w:ind w:left="2628" w:hanging="360"/>
      </w:pPr>
      <w:rPr>
        <w:rFonts w:ascii="Wingdings" w:hAnsi="Wingding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3">
    <w:nsid w:val="5E6752BD"/>
    <w:multiLevelType w:val="hybridMultilevel"/>
    <w:tmpl w:val="D6AAD7FC"/>
    <w:lvl w:ilvl="0" w:tplc="0407000B">
      <w:start w:val="1"/>
      <w:numFmt w:val="bullet"/>
      <w:lvlText w:val=""/>
      <w:lvlJc w:val="left"/>
      <w:pPr>
        <w:ind w:left="1434" w:hanging="360"/>
      </w:pPr>
      <w:rPr>
        <w:rFonts w:ascii="Wingdings" w:hAnsi="Wingdings"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24">
    <w:nsid w:val="5F881F83"/>
    <w:multiLevelType w:val="hybridMultilevel"/>
    <w:tmpl w:val="3ABEDE4E"/>
    <w:lvl w:ilvl="0" w:tplc="45263FA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04B6879"/>
    <w:multiLevelType w:val="hybridMultilevel"/>
    <w:tmpl w:val="23EC81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1001164"/>
    <w:multiLevelType w:val="hybridMultilevel"/>
    <w:tmpl w:val="CF72E8F2"/>
    <w:lvl w:ilvl="0" w:tplc="0407000B">
      <w:start w:val="1"/>
      <w:numFmt w:val="bullet"/>
      <w:lvlText w:val=""/>
      <w:lvlJc w:val="left"/>
      <w:pPr>
        <w:ind w:left="1434" w:hanging="360"/>
      </w:pPr>
      <w:rPr>
        <w:rFonts w:ascii="Wingdings" w:hAnsi="Wingdings"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27">
    <w:nsid w:val="617220D0"/>
    <w:multiLevelType w:val="hybridMultilevel"/>
    <w:tmpl w:val="E19CB9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nsid w:val="62297DE2"/>
    <w:multiLevelType w:val="hybridMultilevel"/>
    <w:tmpl w:val="20F82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941315E"/>
    <w:multiLevelType w:val="hybridMultilevel"/>
    <w:tmpl w:val="995023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E481338"/>
    <w:multiLevelType w:val="hybridMultilevel"/>
    <w:tmpl w:val="B328A8F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73D22D2"/>
    <w:multiLevelType w:val="hybridMultilevel"/>
    <w:tmpl w:val="E95E50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7"/>
  </w:num>
  <w:num w:numId="4">
    <w:abstractNumId w:val="16"/>
  </w:num>
  <w:num w:numId="5">
    <w:abstractNumId w:val="19"/>
  </w:num>
  <w:num w:numId="6">
    <w:abstractNumId w:val="9"/>
  </w:num>
  <w:num w:numId="7">
    <w:abstractNumId w:val="8"/>
  </w:num>
  <w:num w:numId="8">
    <w:abstractNumId w:val="26"/>
  </w:num>
  <w:num w:numId="9">
    <w:abstractNumId w:val="31"/>
  </w:num>
  <w:num w:numId="10">
    <w:abstractNumId w:val="6"/>
  </w:num>
  <w:num w:numId="11">
    <w:abstractNumId w:val="23"/>
  </w:num>
  <w:num w:numId="12">
    <w:abstractNumId w:val="25"/>
  </w:num>
  <w:num w:numId="13">
    <w:abstractNumId w:val="10"/>
  </w:num>
  <w:num w:numId="14">
    <w:abstractNumId w:val="22"/>
  </w:num>
  <w:num w:numId="15">
    <w:abstractNumId w:val="18"/>
  </w:num>
  <w:num w:numId="16">
    <w:abstractNumId w:val="29"/>
  </w:num>
  <w:num w:numId="17">
    <w:abstractNumId w:val="20"/>
  </w:num>
  <w:num w:numId="18">
    <w:abstractNumId w:val="2"/>
  </w:num>
  <w:num w:numId="19">
    <w:abstractNumId w:val="0"/>
  </w:num>
  <w:num w:numId="20">
    <w:abstractNumId w:val="12"/>
  </w:num>
  <w:num w:numId="21">
    <w:abstractNumId w:val="5"/>
  </w:num>
  <w:num w:numId="22">
    <w:abstractNumId w:val="11"/>
  </w:num>
  <w:num w:numId="23">
    <w:abstractNumId w:val="27"/>
  </w:num>
  <w:num w:numId="24">
    <w:abstractNumId w:val="7"/>
  </w:num>
  <w:num w:numId="25">
    <w:abstractNumId w:val="3"/>
  </w:num>
  <w:num w:numId="26">
    <w:abstractNumId w:val="30"/>
  </w:num>
  <w:num w:numId="27">
    <w:abstractNumId w:val="1"/>
  </w:num>
  <w:num w:numId="28">
    <w:abstractNumId w:val="4"/>
  </w:num>
  <w:num w:numId="29">
    <w:abstractNumId w:val="24"/>
  </w:num>
  <w:num w:numId="30">
    <w:abstractNumId w:val="21"/>
  </w:num>
  <w:num w:numId="31">
    <w:abstractNumId w:val="14"/>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70F65"/>
    <w:rsid w:val="0000015A"/>
    <w:rsid w:val="000011BB"/>
    <w:rsid w:val="00010527"/>
    <w:rsid w:val="00020CB1"/>
    <w:rsid w:val="000236A6"/>
    <w:rsid w:val="000238D0"/>
    <w:rsid w:val="00025F96"/>
    <w:rsid w:val="00027764"/>
    <w:rsid w:val="00035440"/>
    <w:rsid w:val="0003786C"/>
    <w:rsid w:val="000413C4"/>
    <w:rsid w:val="00046B0F"/>
    <w:rsid w:val="000472E5"/>
    <w:rsid w:val="00062CA7"/>
    <w:rsid w:val="00063C93"/>
    <w:rsid w:val="000706A6"/>
    <w:rsid w:val="00071881"/>
    <w:rsid w:val="0007492E"/>
    <w:rsid w:val="00077F43"/>
    <w:rsid w:val="00083B70"/>
    <w:rsid w:val="00087A8E"/>
    <w:rsid w:val="000937D5"/>
    <w:rsid w:val="000A36E6"/>
    <w:rsid w:val="000A7AFB"/>
    <w:rsid w:val="000B4221"/>
    <w:rsid w:val="000C79D7"/>
    <w:rsid w:val="000D7BEB"/>
    <w:rsid w:val="000E7510"/>
    <w:rsid w:val="000E7D85"/>
    <w:rsid w:val="000F7CB5"/>
    <w:rsid w:val="00100219"/>
    <w:rsid w:val="0010264F"/>
    <w:rsid w:val="001026B5"/>
    <w:rsid w:val="00103B4C"/>
    <w:rsid w:val="00105DAA"/>
    <w:rsid w:val="00114D66"/>
    <w:rsid w:val="00136F1A"/>
    <w:rsid w:val="00137473"/>
    <w:rsid w:val="00137D9E"/>
    <w:rsid w:val="00143A92"/>
    <w:rsid w:val="0014574A"/>
    <w:rsid w:val="0014666E"/>
    <w:rsid w:val="00147FF7"/>
    <w:rsid w:val="00156E41"/>
    <w:rsid w:val="00162903"/>
    <w:rsid w:val="00163FC5"/>
    <w:rsid w:val="00165EFC"/>
    <w:rsid w:val="00166BA1"/>
    <w:rsid w:val="00172DE3"/>
    <w:rsid w:val="00180CF5"/>
    <w:rsid w:val="00182C25"/>
    <w:rsid w:val="001924E1"/>
    <w:rsid w:val="001974D0"/>
    <w:rsid w:val="001A172C"/>
    <w:rsid w:val="001A250E"/>
    <w:rsid w:val="001B02E4"/>
    <w:rsid w:val="001B1D5A"/>
    <w:rsid w:val="001B4B33"/>
    <w:rsid w:val="001B541A"/>
    <w:rsid w:val="001D640F"/>
    <w:rsid w:val="001F1C9C"/>
    <w:rsid w:val="001F5539"/>
    <w:rsid w:val="001F61A7"/>
    <w:rsid w:val="00201FF2"/>
    <w:rsid w:val="0020446D"/>
    <w:rsid w:val="00205DD9"/>
    <w:rsid w:val="0021125B"/>
    <w:rsid w:val="002159CA"/>
    <w:rsid w:val="00215CA5"/>
    <w:rsid w:val="002337F8"/>
    <w:rsid w:val="0023751D"/>
    <w:rsid w:val="0024494E"/>
    <w:rsid w:val="00245044"/>
    <w:rsid w:val="002531BD"/>
    <w:rsid w:val="00255C73"/>
    <w:rsid w:val="00255F63"/>
    <w:rsid w:val="00260178"/>
    <w:rsid w:val="002618AC"/>
    <w:rsid w:val="00267E3B"/>
    <w:rsid w:val="00271E26"/>
    <w:rsid w:val="00273CC2"/>
    <w:rsid w:val="00281053"/>
    <w:rsid w:val="00281C8F"/>
    <w:rsid w:val="00283064"/>
    <w:rsid w:val="00286B85"/>
    <w:rsid w:val="0028790F"/>
    <w:rsid w:val="00293CB3"/>
    <w:rsid w:val="0029703C"/>
    <w:rsid w:val="002B0E77"/>
    <w:rsid w:val="002B4D07"/>
    <w:rsid w:val="002B7B28"/>
    <w:rsid w:val="002C362A"/>
    <w:rsid w:val="002D4646"/>
    <w:rsid w:val="002D5408"/>
    <w:rsid w:val="002E1DA6"/>
    <w:rsid w:val="002E3FAB"/>
    <w:rsid w:val="002E4A16"/>
    <w:rsid w:val="002E4CA5"/>
    <w:rsid w:val="002E6C99"/>
    <w:rsid w:val="002F3359"/>
    <w:rsid w:val="002F3F6A"/>
    <w:rsid w:val="002F6566"/>
    <w:rsid w:val="002F6B90"/>
    <w:rsid w:val="00300102"/>
    <w:rsid w:val="003010E7"/>
    <w:rsid w:val="003052CD"/>
    <w:rsid w:val="00330CD8"/>
    <w:rsid w:val="0034494E"/>
    <w:rsid w:val="00345342"/>
    <w:rsid w:val="00347692"/>
    <w:rsid w:val="0035349E"/>
    <w:rsid w:val="003542D1"/>
    <w:rsid w:val="00365CD8"/>
    <w:rsid w:val="00370849"/>
    <w:rsid w:val="00383BE7"/>
    <w:rsid w:val="00394F90"/>
    <w:rsid w:val="003C2325"/>
    <w:rsid w:val="003C2E17"/>
    <w:rsid w:val="003C6301"/>
    <w:rsid w:val="003E614C"/>
    <w:rsid w:val="003F5092"/>
    <w:rsid w:val="0040065F"/>
    <w:rsid w:val="00400BFB"/>
    <w:rsid w:val="00421AC6"/>
    <w:rsid w:val="00422924"/>
    <w:rsid w:val="0042424C"/>
    <w:rsid w:val="00426D38"/>
    <w:rsid w:val="00432DCE"/>
    <w:rsid w:val="00434A70"/>
    <w:rsid w:val="004403FF"/>
    <w:rsid w:val="00447067"/>
    <w:rsid w:val="0046325F"/>
    <w:rsid w:val="00466F45"/>
    <w:rsid w:val="00474355"/>
    <w:rsid w:val="00476815"/>
    <w:rsid w:val="00480FC5"/>
    <w:rsid w:val="00482477"/>
    <w:rsid w:val="0049423E"/>
    <w:rsid w:val="004A3B24"/>
    <w:rsid w:val="004B121B"/>
    <w:rsid w:val="004B691C"/>
    <w:rsid w:val="004B7B51"/>
    <w:rsid w:val="004C23AE"/>
    <w:rsid w:val="004D0325"/>
    <w:rsid w:val="004D52A5"/>
    <w:rsid w:val="004E66E8"/>
    <w:rsid w:val="004F34E7"/>
    <w:rsid w:val="00503D5D"/>
    <w:rsid w:val="00506243"/>
    <w:rsid w:val="005065C7"/>
    <w:rsid w:val="005068D8"/>
    <w:rsid w:val="00515C95"/>
    <w:rsid w:val="00517010"/>
    <w:rsid w:val="00517A41"/>
    <w:rsid w:val="00520FAD"/>
    <w:rsid w:val="005227D9"/>
    <w:rsid w:val="00542F9F"/>
    <w:rsid w:val="005456CF"/>
    <w:rsid w:val="00545E5E"/>
    <w:rsid w:val="005568FC"/>
    <w:rsid w:val="00557739"/>
    <w:rsid w:val="005624E5"/>
    <w:rsid w:val="005670EC"/>
    <w:rsid w:val="0057340F"/>
    <w:rsid w:val="005775C0"/>
    <w:rsid w:val="00584294"/>
    <w:rsid w:val="005852DC"/>
    <w:rsid w:val="00595009"/>
    <w:rsid w:val="005A3A80"/>
    <w:rsid w:val="005C242E"/>
    <w:rsid w:val="005C715C"/>
    <w:rsid w:val="005D2EB8"/>
    <w:rsid w:val="005D4FAA"/>
    <w:rsid w:val="005E3722"/>
    <w:rsid w:val="005E5E30"/>
    <w:rsid w:val="005F7D2A"/>
    <w:rsid w:val="0061052E"/>
    <w:rsid w:val="006265E5"/>
    <w:rsid w:val="006325FD"/>
    <w:rsid w:val="00634133"/>
    <w:rsid w:val="006376EA"/>
    <w:rsid w:val="00644FAA"/>
    <w:rsid w:val="00653616"/>
    <w:rsid w:val="0065368C"/>
    <w:rsid w:val="00653C14"/>
    <w:rsid w:val="006638B5"/>
    <w:rsid w:val="00673982"/>
    <w:rsid w:val="0068401B"/>
    <w:rsid w:val="00693CA8"/>
    <w:rsid w:val="006945F1"/>
    <w:rsid w:val="00695A0E"/>
    <w:rsid w:val="006A496F"/>
    <w:rsid w:val="006A4F45"/>
    <w:rsid w:val="006A7CD7"/>
    <w:rsid w:val="006B7A2B"/>
    <w:rsid w:val="006C7BC5"/>
    <w:rsid w:val="006D7BE6"/>
    <w:rsid w:val="006E1B03"/>
    <w:rsid w:val="006E467D"/>
    <w:rsid w:val="006E6183"/>
    <w:rsid w:val="006F57C4"/>
    <w:rsid w:val="00703DFF"/>
    <w:rsid w:val="00705AD6"/>
    <w:rsid w:val="007152E3"/>
    <w:rsid w:val="00715F33"/>
    <w:rsid w:val="00716F99"/>
    <w:rsid w:val="0072295A"/>
    <w:rsid w:val="00730AB2"/>
    <w:rsid w:val="00732387"/>
    <w:rsid w:val="0073796A"/>
    <w:rsid w:val="00741032"/>
    <w:rsid w:val="00744104"/>
    <w:rsid w:val="007456F5"/>
    <w:rsid w:val="007467E0"/>
    <w:rsid w:val="00753E91"/>
    <w:rsid w:val="0077296D"/>
    <w:rsid w:val="00773FD3"/>
    <w:rsid w:val="00776A55"/>
    <w:rsid w:val="00783143"/>
    <w:rsid w:val="007870C2"/>
    <w:rsid w:val="007A48F9"/>
    <w:rsid w:val="007B20B4"/>
    <w:rsid w:val="007B3657"/>
    <w:rsid w:val="007B6956"/>
    <w:rsid w:val="007D0D71"/>
    <w:rsid w:val="007D486B"/>
    <w:rsid w:val="007D7F94"/>
    <w:rsid w:val="007E1FDD"/>
    <w:rsid w:val="007E213E"/>
    <w:rsid w:val="007E440B"/>
    <w:rsid w:val="007E6113"/>
    <w:rsid w:val="00801331"/>
    <w:rsid w:val="00802626"/>
    <w:rsid w:val="00804992"/>
    <w:rsid w:val="008056AB"/>
    <w:rsid w:val="00807308"/>
    <w:rsid w:val="00812FC2"/>
    <w:rsid w:val="008133D5"/>
    <w:rsid w:val="0081695D"/>
    <w:rsid w:val="00831608"/>
    <w:rsid w:val="00831FFC"/>
    <w:rsid w:val="00832DFD"/>
    <w:rsid w:val="00837235"/>
    <w:rsid w:val="0084373C"/>
    <w:rsid w:val="00846616"/>
    <w:rsid w:val="00850E8C"/>
    <w:rsid w:val="00852F3B"/>
    <w:rsid w:val="008557C0"/>
    <w:rsid w:val="00871F8F"/>
    <w:rsid w:val="00874106"/>
    <w:rsid w:val="00876623"/>
    <w:rsid w:val="00887691"/>
    <w:rsid w:val="00892A03"/>
    <w:rsid w:val="00892FF4"/>
    <w:rsid w:val="00893DEE"/>
    <w:rsid w:val="008C2CDF"/>
    <w:rsid w:val="008D0219"/>
    <w:rsid w:val="008D22AA"/>
    <w:rsid w:val="008D7409"/>
    <w:rsid w:val="008D7EE5"/>
    <w:rsid w:val="008F6E8D"/>
    <w:rsid w:val="008F79C1"/>
    <w:rsid w:val="00907327"/>
    <w:rsid w:val="00910F73"/>
    <w:rsid w:val="00912553"/>
    <w:rsid w:val="009131AF"/>
    <w:rsid w:val="009145A3"/>
    <w:rsid w:val="00915D44"/>
    <w:rsid w:val="00921731"/>
    <w:rsid w:val="00921C3C"/>
    <w:rsid w:val="00921C87"/>
    <w:rsid w:val="00937B5E"/>
    <w:rsid w:val="00937DCF"/>
    <w:rsid w:val="00955ED2"/>
    <w:rsid w:val="00957238"/>
    <w:rsid w:val="00960B52"/>
    <w:rsid w:val="00960DA5"/>
    <w:rsid w:val="00962EE6"/>
    <w:rsid w:val="00962F06"/>
    <w:rsid w:val="00963824"/>
    <w:rsid w:val="009638FF"/>
    <w:rsid w:val="00963CAE"/>
    <w:rsid w:val="00964C19"/>
    <w:rsid w:val="0097243F"/>
    <w:rsid w:val="0097444C"/>
    <w:rsid w:val="00985A2A"/>
    <w:rsid w:val="009A08BB"/>
    <w:rsid w:val="009A3F70"/>
    <w:rsid w:val="009A4167"/>
    <w:rsid w:val="009A4D53"/>
    <w:rsid w:val="009A76E6"/>
    <w:rsid w:val="009C60C8"/>
    <w:rsid w:val="009D20F8"/>
    <w:rsid w:val="009D46C2"/>
    <w:rsid w:val="009D598A"/>
    <w:rsid w:val="009D61B8"/>
    <w:rsid w:val="009E2412"/>
    <w:rsid w:val="009E3533"/>
    <w:rsid w:val="009E4EE1"/>
    <w:rsid w:val="009F3B0D"/>
    <w:rsid w:val="009F7658"/>
    <w:rsid w:val="00A070F5"/>
    <w:rsid w:val="00A24C4C"/>
    <w:rsid w:val="00A317F4"/>
    <w:rsid w:val="00A31F20"/>
    <w:rsid w:val="00A34871"/>
    <w:rsid w:val="00A37083"/>
    <w:rsid w:val="00A37C3B"/>
    <w:rsid w:val="00A5605A"/>
    <w:rsid w:val="00A57F1A"/>
    <w:rsid w:val="00A70F2C"/>
    <w:rsid w:val="00A76AFB"/>
    <w:rsid w:val="00AA5696"/>
    <w:rsid w:val="00AB0006"/>
    <w:rsid w:val="00AC38E4"/>
    <w:rsid w:val="00AC6570"/>
    <w:rsid w:val="00AD394F"/>
    <w:rsid w:val="00AD728B"/>
    <w:rsid w:val="00AE08D5"/>
    <w:rsid w:val="00AE1837"/>
    <w:rsid w:val="00AE2D9F"/>
    <w:rsid w:val="00AE3105"/>
    <w:rsid w:val="00AE482E"/>
    <w:rsid w:val="00AF4AB0"/>
    <w:rsid w:val="00B0237B"/>
    <w:rsid w:val="00B0687B"/>
    <w:rsid w:val="00B11BDF"/>
    <w:rsid w:val="00B128A9"/>
    <w:rsid w:val="00B13A57"/>
    <w:rsid w:val="00B16310"/>
    <w:rsid w:val="00B23E0B"/>
    <w:rsid w:val="00B333A8"/>
    <w:rsid w:val="00B3400B"/>
    <w:rsid w:val="00B35F82"/>
    <w:rsid w:val="00B423FE"/>
    <w:rsid w:val="00B45C49"/>
    <w:rsid w:val="00B5397F"/>
    <w:rsid w:val="00B70251"/>
    <w:rsid w:val="00B70C24"/>
    <w:rsid w:val="00B73A8B"/>
    <w:rsid w:val="00B74BD7"/>
    <w:rsid w:val="00B85962"/>
    <w:rsid w:val="00B90C99"/>
    <w:rsid w:val="00BA2D98"/>
    <w:rsid w:val="00BA4E7B"/>
    <w:rsid w:val="00BA5A23"/>
    <w:rsid w:val="00BA7CBD"/>
    <w:rsid w:val="00BB45E7"/>
    <w:rsid w:val="00BC27DC"/>
    <w:rsid w:val="00BC549C"/>
    <w:rsid w:val="00BD40BE"/>
    <w:rsid w:val="00BD5943"/>
    <w:rsid w:val="00BF7F30"/>
    <w:rsid w:val="00C00A24"/>
    <w:rsid w:val="00C01D90"/>
    <w:rsid w:val="00C025B3"/>
    <w:rsid w:val="00C03642"/>
    <w:rsid w:val="00C04165"/>
    <w:rsid w:val="00C04D2E"/>
    <w:rsid w:val="00C204EE"/>
    <w:rsid w:val="00C2482C"/>
    <w:rsid w:val="00C3169E"/>
    <w:rsid w:val="00C317C6"/>
    <w:rsid w:val="00C34AF2"/>
    <w:rsid w:val="00C413DC"/>
    <w:rsid w:val="00C56EEC"/>
    <w:rsid w:val="00C61770"/>
    <w:rsid w:val="00C64498"/>
    <w:rsid w:val="00C6600A"/>
    <w:rsid w:val="00C66B36"/>
    <w:rsid w:val="00C7181F"/>
    <w:rsid w:val="00C77864"/>
    <w:rsid w:val="00C81CBC"/>
    <w:rsid w:val="00CA70CF"/>
    <w:rsid w:val="00CB03F6"/>
    <w:rsid w:val="00CC3ED3"/>
    <w:rsid w:val="00CD2FA7"/>
    <w:rsid w:val="00CD7C70"/>
    <w:rsid w:val="00CE2FB6"/>
    <w:rsid w:val="00CE388F"/>
    <w:rsid w:val="00CF548F"/>
    <w:rsid w:val="00CF74CA"/>
    <w:rsid w:val="00D04789"/>
    <w:rsid w:val="00D148EF"/>
    <w:rsid w:val="00D351DD"/>
    <w:rsid w:val="00D5398C"/>
    <w:rsid w:val="00D55872"/>
    <w:rsid w:val="00D573CC"/>
    <w:rsid w:val="00D6258F"/>
    <w:rsid w:val="00D72283"/>
    <w:rsid w:val="00D77500"/>
    <w:rsid w:val="00D87F24"/>
    <w:rsid w:val="00DA75B1"/>
    <w:rsid w:val="00DB31ED"/>
    <w:rsid w:val="00DC099E"/>
    <w:rsid w:val="00DC2528"/>
    <w:rsid w:val="00DC4033"/>
    <w:rsid w:val="00DC73D2"/>
    <w:rsid w:val="00DD0069"/>
    <w:rsid w:val="00DD5583"/>
    <w:rsid w:val="00DE1122"/>
    <w:rsid w:val="00DE29FD"/>
    <w:rsid w:val="00DF19D3"/>
    <w:rsid w:val="00DF2707"/>
    <w:rsid w:val="00DF36A1"/>
    <w:rsid w:val="00DF5159"/>
    <w:rsid w:val="00DF7600"/>
    <w:rsid w:val="00DF7BEC"/>
    <w:rsid w:val="00E0179A"/>
    <w:rsid w:val="00E028D1"/>
    <w:rsid w:val="00E030E1"/>
    <w:rsid w:val="00E045EF"/>
    <w:rsid w:val="00E14150"/>
    <w:rsid w:val="00E3377F"/>
    <w:rsid w:val="00E41649"/>
    <w:rsid w:val="00E446F4"/>
    <w:rsid w:val="00E509C4"/>
    <w:rsid w:val="00E64115"/>
    <w:rsid w:val="00E703F1"/>
    <w:rsid w:val="00E741E7"/>
    <w:rsid w:val="00E8170C"/>
    <w:rsid w:val="00E834FD"/>
    <w:rsid w:val="00E87A7D"/>
    <w:rsid w:val="00E97DF4"/>
    <w:rsid w:val="00EB5F99"/>
    <w:rsid w:val="00EB6028"/>
    <w:rsid w:val="00EC52AC"/>
    <w:rsid w:val="00ED18AA"/>
    <w:rsid w:val="00EF052E"/>
    <w:rsid w:val="00F02BE6"/>
    <w:rsid w:val="00F049A7"/>
    <w:rsid w:val="00F11C2F"/>
    <w:rsid w:val="00F23D4D"/>
    <w:rsid w:val="00F2497C"/>
    <w:rsid w:val="00F2571A"/>
    <w:rsid w:val="00F341F9"/>
    <w:rsid w:val="00F3524B"/>
    <w:rsid w:val="00F41101"/>
    <w:rsid w:val="00F42546"/>
    <w:rsid w:val="00F55D6F"/>
    <w:rsid w:val="00F60F6B"/>
    <w:rsid w:val="00F6711D"/>
    <w:rsid w:val="00F70AFE"/>
    <w:rsid w:val="00F70F65"/>
    <w:rsid w:val="00F773AA"/>
    <w:rsid w:val="00F82A50"/>
    <w:rsid w:val="00FA14D3"/>
    <w:rsid w:val="00FB1F8B"/>
    <w:rsid w:val="00FB50A8"/>
    <w:rsid w:val="00FC5967"/>
    <w:rsid w:val="00FC7B61"/>
    <w:rsid w:val="00FC7D3D"/>
    <w:rsid w:val="00FD176D"/>
    <w:rsid w:val="00FD5DB4"/>
    <w:rsid w:val="00FF6171"/>
    <w:rsid w:val="00FF649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0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0F65"/>
    <w:pPr>
      <w:ind w:left="720"/>
      <w:contextualSpacing/>
    </w:pPr>
  </w:style>
  <w:style w:type="table" w:styleId="Tabellengitternetz">
    <w:name w:val="Table Grid"/>
    <w:basedOn w:val="NormaleTabelle"/>
    <w:uiPriority w:val="59"/>
    <w:rsid w:val="00F70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unhideWhenUsed/>
    <w:rsid w:val="0084373C"/>
  </w:style>
  <w:style w:type="character" w:customStyle="1" w:styleId="FunotentextZchn">
    <w:name w:val="Fußnotentext Zchn"/>
    <w:basedOn w:val="Absatz-Standardschriftart"/>
    <w:link w:val="Funotentext"/>
    <w:uiPriority w:val="99"/>
    <w:rsid w:val="0084373C"/>
  </w:style>
  <w:style w:type="character" w:styleId="Funotenzeichen">
    <w:name w:val="footnote reference"/>
    <w:basedOn w:val="Absatz-Standardschriftart"/>
    <w:uiPriority w:val="99"/>
    <w:unhideWhenUsed/>
    <w:rsid w:val="0084373C"/>
    <w:rPr>
      <w:vertAlign w:val="superscript"/>
    </w:rPr>
  </w:style>
  <w:style w:type="table" w:customStyle="1" w:styleId="Gitternetztabelle5dunkelAkzent11">
    <w:name w:val="Gitternetztabelle 5 dunkel  – Akzent 11"/>
    <w:basedOn w:val="NormaleTabelle"/>
    <w:uiPriority w:val="50"/>
    <w:rsid w:val="00C2482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Kopfzeile">
    <w:name w:val="header"/>
    <w:basedOn w:val="Standard"/>
    <w:link w:val="KopfzeileZchn"/>
    <w:uiPriority w:val="99"/>
    <w:unhideWhenUsed/>
    <w:rsid w:val="000E7510"/>
    <w:pPr>
      <w:tabs>
        <w:tab w:val="center" w:pos="4536"/>
        <w:tab w:val="right" w:pos="9072"/>
      </w:tabs>
    </w:pPr>
  </w:style>
  <w:style w:type="character" w:customStyle="1" w:styleId="KopfzeileZchn">
    <w:name w:val="Kopfzeile Zchn"/>
    <w:basedOn w:val="Absatz-Standardschriftart"/>
    <w:link w:val="Kopfzeile"/>
    <w:uiPriority w:val="99"/>
    <w:rsid w:val="000E7510"/>
  </w:style>
  <w:style w:type="paragraph" w:styleId="Fuzeile">
    <w:name w:val="footer"/>
    <w:basedOn w:val="Standard"/>
    <w:link w:val="FuzeileZchn"/>
    <w:uiPriority w:val="99"/>
    <w:unhideWhenUsed/>
    <w:rsid w:val="000E7510"/>
    <w:pPr>
      <w:tabs>
        <w:tab w:val="center" w:pos="4536"/>
        <w:tab w:val="right" w:pos="9072"/>
      </w:tabs>
    </w:pPr>
  </w:style>
  <w:style w:type="character" w:customStyle="1" w:styleId="FuzeileZchn">
    <w:name w:val="Fußzeile Zchn"/>
    <w:basedOn w:val="Absatz-Standardschriftart"/>
    <w:link w:val="Fuzeile"/>
    <w:uiPriority w:val="99"/>
    <w:rsid w:val="000E7510"/>
  </w:style>
  <w:style w:type="table" w:customStyle="1" w:styleId="Gitternetztabelle4Akzent51">
    <w:name w:val="Gitternetztabelle 4 – Akzent 51"/>
    <w:basedOn w:val="NormaleTabelle"/>
    <w:uiPriority w:val="49"/>
    <w:rsid w:val="00105DAA"/>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prechblasentext">
    <w:name w:val="Balloon Text"/>
    <w:basedOn w:val="Standard"/>
    <w:link w:val="SprechblasentextZchn"/>
    <w:uiPriority w:val="99"/>
    <w:semiHidden/>
    <w:unhideWhenUsed/>
    <w:rsid w:val="0084661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46616"/>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25F96"/>
    <w:rPr>
      <w:sz w:val="18"/>
      <w:szCs w:val="18"/>
    </w:rPr>
  </w:style>
  <w:style w:type="paragraph" w:styleId="Kommentartext">
    <w:name w:val="annotation text"/>
    <w:basedOn w:val="Standard"/>
    <w:link w:val="KommentartextZchn"/>
    <w:uiPriority w:val="99"/>
    <w:semiHidden/>
    <w:unhideWhenUsed/>
    <w:rsid w:val="00025F96"/>
  </w:style>
  <w:style w:type="character" w:customStyle="1" w:styleId="KommentartextZchn">
    <w:name w:val="Kommentartext Zchn"/>
    <w:basedOn w:val="Absatz-Standardschriftart"/>
    <w:link w:val="Kommentartext"/>
    <w:uiPriority w:val="99"/>
    <w:semiHidden/>
    <w:rsid w:val="00025F96"/>
  </w:style>
  <w:style w:type="paragraph" w:styleId="Kommentarthema">
    <w:name w:val="annotation subject"/>
    <w:basedOn w:val="Kommentartext"/>
    <w:next w:val="Kommentartext"/>
    <w:link w:val="KommentarthemaZchn"/>
    <w:uiPriority w:val="99"/>
    <w:semiHidden/>
    <w:unhideWhenUsed/>
    <w:rsid w:val="00025F96"/>
    <w:rPr>
      <w:b/>
      <w:bCs/>
      <w:sz w:val="20"/>
      <w:szCs w:val="20"/>
    </w:rPr>
  </w:style>
  <w:style w:type="character" w:customStyle="1" w:styleId="KommentarthemaZchn">
    <w:name w:val="Kommentarthema Zchn"/>
    <w:basedOn w:val="KommentartextZchn"/>
    <w:link w:val="Kommentarthema"/>
    <w:uiPriority w:val="99"/>
    <w:semiHidden/>
    <w:rsid w:val="00025F96"/>
    <w:rPr>
      <w:b/>
      <w:bCs/>
      <w:sz w:val="20"/>
      <w:szCs w:val="20"/>
    </w:rPr>
  </w:style>
  <w:style w:type="table" w:customStyle="1" w:styleId="GridTable4Accent5">
    <w:name w:val="Grid Table 4 Accent 5"/>
    <w:basedOn w:val="NormaleTabelle"/>
    <w:uiPriority w:val="49"/>
    <w:rsid w:val="0049423E"/>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r="http://schemas.openxmlformats.org/officeDocument/2006/relationships" xmlns:w="http://schemas.openxmlformats.org/wordprocessingml/2006/main">
  <w:divs>
    <w:div w:id="196937070">
      <w:bodyDiv w:val="1"/>
      <w:marLeft w:val="0"/>
      <w:marRight w:val="0"/>
      <w:marTop w:val="0"/>
      <w:marBottom w:val="0"/>
      <w:divBdr>
        <w:top w:val="none" w:sz="0" w:space="0" w:color="auto"/>
        <w:left w:val="none" w:sz="0" w:space="0" w:color="auto"/>
        <w:bottom w:val="none" w:sz="0" w:space="0" w:color="auto"/>
        <w:right w:val="none" w:sz="0" w:space="0" w:color="auto"/>
      </w:divBdr>
    </w:div>
    <w:div w:id="345401274">
      <w:bodyDiv w:val="1"/>
      <w:marLeft w:val="0"/>
      <w:marRight w:val="0"/>
      <w:marTop w:val="0"/>
      <w:marBottom w:val="0"/>
      <w:divBdr>
        <w:top w:val="none" w:sz="0" w:space="0" w:color="auto"/>
        <w:left w:val="none" w:sz="0" w:space="0" w:color="auto"/>
        <w:bottom w:val="none" w:sz="0" w:space="0" w:color="auto"/>
        <w:right w:val="none" w:sz="0" w:space="0" w:color="auto"/>
      </w:divBdr>
    </w:div>
    <w:div w:id="511602588">
      <w:bodyDiv w:val="1"/>
      <w:marLeft w:val="0"/>
      <w:marRight w:val="0"/>
      <w:marTop w:val="0"/>
      <w:marBottom w:val="0"/>
      <w:divBdr>
        <w:top w:val="none" w:sz="0" w:space="0" w:color="auto"/>
        <w:left w:val="none" w:sz="0" w:space="0" w:color="auto"/>
        <w:bottom w:val="none" w:sz="0" w:space="0" w:color="auto"/>
        <w:right w:val="none" w:sz="0" w:space="0" w:color="auto"/>
      </w:divBdr>
    </w:div>
    <w:div w:id="1607880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Arbeitsmappe3" TargetMode="External"/></Relationships>
</file>

<file path=word/charts/_rels/chart2.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usionDrive:Users:du:Desktop:Welcome%20Centre%20Stuttgart:Gesamtauswertung%20WCS.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Arbeitsmappe2" TargetMode="External"/></Relationships>
</file>

<file path=word/charts/_rels/chart4.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Arbeitsmappe2" TargetMode="External"/></Relationships>
</file>

<file path=word/charts/_rels/chart5.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usionDrive:Users:du:Documents:Welcome%20Centre%20Stuttgart:Gesamtauswertung%20WCS.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Arbeitsmappe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style val="7"/>
  <c:chart>
    <c:autoTitleDeleted val="1"/>
    <c:plotArea>
      <c:layout/>
      <c:barChart>
        <c:barDir val="col"/>
        <c:grouping val="clustered"/>
        <c:ser>
          <c:idx val="0"/>
          <c:order val="0"/>
          <c:spPr>
            <a:gradFill>
              <a:gsLst>
                <a:gs pos="0">
                  <a:schemeClr val="accent5"/>
                </a:gs>
                <a:gs pos="100000">
                  <a:schemeClr val="accent5">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inEnd"/>
            <c:showVal val="1"/>
            <c:extLst>
              <c:ext xmlns:c15="http://schemas.microsoft.com/office/drawing/2012/chart" uri="{CE6537A1-D6FC-4f65-9D91-7224C49458BB}">
                <c15:showLeaderLines val="0"/>
              </c:ext>
            </c:extLst>
          </c:dLbls>
          <c:cat>
            <c:strRef>
              <c:f>Blatt1!$B$5:$B$12</c:f>
              <c:strCache>
                <c:ptCount val="8"/>
                <c:pt idx="0">
                  <c:v>Oktober</c:v>
                </c:pt>
                <c:pt idx="1">
                  <c:v>November</c:v>
                </c:pt>
                <c:pt idx="2">
                  <c:v>Dezember</c:v>
                </c:pt>
                <c:pt idx="3">
                  <c:v>Januar</c:v>
                </c:pt>
                <c:pt idx="4">
                  <c:v>Februar</c:v>
                </c:pt>
                <c:pt idx="5">
                  <c:v>März</c:v>
                </c:pt>
                <c:pt idx="6">
                  <c:v>April</c:v>
                </c:pt>
                <c:pt idx="7">
                  <c:v>Mai</c:v>
                </c:pt>
              </c:strCache>
            </c:strRef>
          </c:cat>
          <c:val>
            <c:numRef>
              <c:f>Blatt1!$C$5:$C$12</c:f>
              <c:numCache>
                <c:formatCode>General</c:formatCode>
                <c:ptCount val="8"/>
                <c:pt idx="0">
                  <c:v>234</c:v>
                </c:pt>
                <c:pt idx="1">
                  <c:v>252</c:v>
                </c:pt>
                <c:pt idx="2">
                  <c:v>168</c:v>
                </c:pt>
                <c:pt idx="3">
                  <c:v>303</c:v>
                </c:pt>
                <c:pt idx="4">
                  <c:v>349</c:v>
                </c:pt>
                <c:pt idx="5">
                  <c:v>314</c:v>
                </c:pt>
                <c:pt idx="6">
                  <c:v>230</c:v>
                </c:pt>
                <c:pt idx="7">
                  <c:v>225</c:v>
                </c:pt>
              </c:numCache>
            </c:numRef>
          </c:val>
        </c:ser>
        <c:dLbls>
          <c:showVal val="1"/>
        </c:dLbls>
        <c:gapWidth val="41"/>
        <c:axId val="56845440"/>
        <c:axId val="56847360"/>
      </c:barChart>
      <c:catAx>
        <c:axId val="56845440"/>
        <c:scaling>
          <c:orientation val="minMax"/>
        </c:scaling>
        <c:axPos val="b"/>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de-DE"/>
          </a:p>
        </c:txPr>
        <c:crossAx val="56847360"/>
        <c:crosses val="autoZero"/>
        <c:auto val="1"/>
        <c:lblAlgn val="ctr"/>
        <c:lblOffset val="100"/>
      </c:catAx>
      <c:valAx>
        <c:axId val="56847360"/>
        <c:scaling>
          <c:orientation val="minMax"/>
        </c:scaling>
        <c:delete val="1"/>
        <c:axPos val="l"/>
        <c:numFmt formatCode="General" sourceLinked="1"/>
        <c:majorTickMark val="none"/>
        <c:tickLblPos val="none"/>
        <c:crossAx val="56845440"/>
        <c:crosses val="autoZero"/>
        <c:crossBetween val="between"/>
      </c:valAx>
      <c:spPr>
        <a:noFill/>
        <a:ln>
          <a:noFill/>
        </a:ln>
        <a:effectLst/>
      </c:spPr>
    </c:plotArea>
    <c:plotVisOnly val="1"/>
    <c:dispBlanksAs val="gap"/>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de-DE"/>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de-DE"/>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outEnd"/>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Blatt1!$I$33:$I$36</c:f>
              <c:strCache>
                <c:ptCount val="4"/>
                <c:pt idx="0">
                  <c:v>persönlich</c:v>
                </c:pt>
                <c:pt idx="1">
                  <c:v>telefonisch</c:v>
                </c:pt>
                <c:pt idx="2">
                  <c:v>email</c:v>
                </c:pt>
                <c:pt idx="3">
                  <c:v>Keine Angabe</c:v>
                </c:pt>
              </c:strCache>
            </c:strRef>
          </c:cat>
          <c:val>
            <c:numRef>
              <c:f>Blatt1!$J$33:$J$36</c:f>
              <c:numCache>
                <c:formatCode>General</c:formatCode>
                <c:ptCount val="4"/>
                <c:pt idx="0">
                  <c:v>1506</c:v>
                </c:pt>
                <c:pt idx="1">
                  <c:v>319</c:v>
                </c:pt>
                <c:pt idx="2">
                  <c:v>221</c:v>
                </c:pt>
                <c:pt idx="3">
                  <c:v>29</c:v>
                </c:pt>
              </c:numCache>
            </c:numRef>
          </c:val>
        </c:ser>
        <c:dLbls>
          <c:showPercent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de-DE"/>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dLbl>
              <c:idx val="4"/>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bestFit"/>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Blatt1!$N$20:$N$24</c:f>
              <c:strCache>
                <c:ptCount val="5"/>
                <c:pt idx="0">
                  <c:v>Herr</c:v>
                </c:pt>
                <c:pt idx="1">
                  <c:v>Frau</c:v>
                </c:pt>
                <c:pt idx="2">
                  <c:v>Paar</c:v>
                </c:pt>
                <c:pt idx="3">
                  <c:v>Familie</c:v>
                </c:pt>
                <c:pt idx="4">
                  <c:v>Organisation/Unternehmen</c:v>
                </c:pt>
              </c:strCache>
            </c:strRef>
          </c:cat>
          <c:val>
            <c:numRef>
              <c:f>Blatt1!$O$20:$O$24</c:f>
              <c:numCache>
                <c:formatCode>General</c:formatCode>
                <c:ptCount val="5"/>
                <c:pt idx="0">
                  <c:v>1090</c:v>
                </c:pt>
                <c:pt idx="1">
                  <c:v>935</c:v>
                </c:pt>
                <c:pt idx="2">
                  <c:v>25</c:v>
                </c:pt>
                <c:pt idx="3">
                  <c:v>14</c:v>
                </c:pt>
                <c:pt idx="4">
                  <c:v>1</c:v>
                </c:pt>
              </c:numCache>
            </c:numRef>
          </c:val>
        </c:ser>
        <c:dLbls>
          <c:showPercent val="1"/>
        </c:dLbls>
        <c:firstSliceAng val="0"/>
      </c:pieChart>
      <c:spPr>
        <a:noFill/>
        <a:ln>
          <a:noFill/>
        </a:ln>
        <a:effectLst/>
      </c:spPr>
    </c:plotArea>
    <c:legend>
      <c:legendPos val="r"/>
      <c:legendEntry>
        <c:idx val="4"/>
        <c:delete val="1"/>
      </c:legendEntry>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de-DE"/>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bestFit"/>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Blatt1!$N$44:$N$49</c:f>
              <c:strCache>
                <c:ptCount val="6"/>
                <c:pt idx="0">
                  <c:v>obdachlos/Keine Angabe</c:v>
                </c:pt>
                <c:pt idx="1">
                  <c:v>Region</c:v>
                </c:pt>
                <c:pt idx="2">
                  <c:v>außerhalb</c:v>
                </c:pt>
                <c:pt idx="3">
                  <c:v>Ausland</c:v>
                </c:pt>
                <c:pt idx="4">
                  <c:v>Stadt Stuttgart</c:v>
                </c:pt>
                <c:pt idx="5">
                  <c:v>Keine Angabe</c:v>
                </c:pt>
              </c:strCache>
            </c:strRef>
          </c:cat>
          <c:val>
            <c:numRef>
              <c:f>Blatt1!$O$44:$O$49</c:f>
              <c:numCache>
                <c:formatCode>General</c:formatCode>
                <c:ptCount val="6"/>
                <c:pt idx="0">
                  <c:v>27</c:v>
                </c:pt>
                <c:pt idx="1">
                  <c:v>205</c:v>
                </c:pt>
                <c:pt idx="2">
                  <c:v>47</c:v>
                </c:pt>
                <c:pt idx="3">
                  <c:v>199</c:v>
                </c:pt>
                <c:pt idx="4">
                  <c:v>1544</c:v>
                </c:pt>
                <c:pt idx="5">
                  <c:v>55</c:v>
                </c:pt>
              </c:numCache>
            </c:numRef>
          </c:val>
        </c:ser>
        <c:dLbls>
          <c:showPercent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de-DE"/>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Blatt1!$I$5:$I$7</c:f>
              <c:strCache>
                <c:ptCount val="3"/>
                <c:pt idx="0">
                  <c:v>Drittstaaten</c:v>
                </c:pt>
                <c:pt idx="1">
                  <c:v>Europäische Union</c:v>
                </c:pt>
                <c:pt idx="2">
                  <c:v>Keine Angabe</c:v>
                </c:pt>
              </c:strCache>
            </c:strRef>
          </c:cat>
          <c:val>
            <c:numRef>
              <c:f>Blatt1!$J$5:$J$7</c:f>
              <c:numCache>
                <c:formatCode>General</c:formatCode>
                <c:ptCount val="3"/>
                <c:pt idx="0">
                  <c:v>911</c:v>
                </c:pt>
                <c:pt idx="1">
                  <c:v>1143</c:v>
                </c:pt>
                <c:pt idx="2">
                  <c:v>21</c:v>
                </c:pt>
              </c:numCache>
            </c:numRef>
          </c:val>
        </c:ser>
        <c:dLbls>
          <c:showPercent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de-DE"/>
  <c:chart>
    <c:autoTitleDeleted val="1"/>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Blatt1!$M$108:$M$112</c:f>
              <c:strCache>
                <c:ptCount val="5"/>
                <c:pt idx="0">
                  <c:v>Arbeit</c:v>
                </c:pt>
                <c:pt idx="1">
                  <c:v>Studium/Ausbildung</c:v>
                </c:pt>
                <c:pt idx="2">
                  <c:v>Leben</c:v>
                </c:pt>
                <c:pt idx="3">
                  <c:v>Aufenthaltsrechts</c:v>
                </c:pt>
                <c:pt idx="4">
                  <c:v>Sprache</c:v>
                </c:pt>
              </c:strCache>
            </c:strRef>
          </c:cat>
          <c:val>
            <c:numRef>
              <c:f>Blatt1!$N$108:$N$112</c:f>
              <c:numCache>
                <c:formatCode>General</c:formatCode>
                <c:ptCount val="5"/>
                <c:pt idx="0">
                  <c:v>884</c:v>
                </c:pt>
                <c:pt idx="1">
                  <c:v>233</c:v>
                </c:pt>
                <c:pt idx="2">
                  <c:v>566</c:v>
                </c:pt>
                <c:pt idx="3">
                  <c:v>303</c:v>
                </c:pt>
                <c:pt idx="4">
                  <c:v>958</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1"/>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2369</Words>
  <Characters>14927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u00o042</cp:lastModifiedBy>
  <cp:revision>4</cp:revision>
  <cp:lastPrinted>2015-07-06T09:27:00Z</cp:lastPrinted>
  <dcterms:created xsi:type="dcterms:W3CDTF">2015-07-06T09:29:00Z</dcterms:created>
  <dcterms:modified xsi:type="dcterms:W3CDTF">2015-07-07T08:16:00Z</dcterms:modified>
</cp:coreProperties>
</file>