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082" w:rsidRDefault="00042082" w:rsidP="00042082">
      <w:pPr>
        <w:pStyle w:val="Kopfzeile"/>
        <w:tabs>
          <w:tab w:val="left" w:pos="708"/>
        </w:tabs>
        <w:rPr>
          <w:b/>
        </w:rPr>
      </w:pPr>
      <w:r>
        <w:rPr>
          <w:b/>
        </w:rPr>
        <w:t>Geschichtliche Betrachtung der Parkanlage bis zur Gegenwart</w:t>
      </w:r>
    </w:p>
    <w:p w:rsidR="00042082" w:rsidRDefault="00042082" w:rsidP="00042082">
      <w:pPr>
        <w:pStyle w:val="Kopfzeile"/>
        <w:tabs>
          <w:tab w:val="left" w:pos="708"/>
        </w:tabs>
      </w:pPr>
      <w:r>
        <w:t>Auszug aus dem Parkpflegewerk von Landschaftsarchitekt Hartmut Teske aus Berlin</w:t>
      </w:r>
    </w:p>
    <w:p w:rsidR="00042082" w:rsidRDefault="00042082" w:rsidP="00042082">
      <w:pPr>
        <w:pStyle w:val="Kopfzeile"/>
        <w:tabs>
          <w:tab w:val="left" w:pos="708"/>
        </w:tabs>
      </w:pPr>
    </w:p>
    <w:p w:rsidR="00042082" w:rsidRDefault="00042082" w:rsidP="00042082">
      <w:pPr>
        <w:pStyle w:val="Kopfzeile"/>
        <w:tabs>
          <w:tab w:val="left" w:pos="708"/>
        </w:tabs>
      </w:pPr>
      <w:r>
        <w:t>Zunächst als schlichtes Landhaus für den württembergischen Thronfolger Karl (1823 – 1891) entwickelte sich die Villa ab 1845 unter Einflussnahme der späteren Kronprinzessin Olga und ihrer Mutter, Zarin Alexandra zu einem repräsentativen Baukörper in einer rund vierundzwanzig Hektar großen Parkanlage.</w:t>
      </w:r>
    </w:p>
    <w:p w:rsidR="00042082" w:rsidRDefault="00042082" w:rsidP="00042082">
      <w:r>
        <w:t>Auf dem höchsten Punkt des Raitelsbergs, dem Höllschen Bühl, einem Weinbergs- und Gartengelände oberhalb des Dorfes Berg, entwarf der Architekt Friedrich Leins die gewünschte repräsentative Villa im Stil der Neorenaissance mit weitschweifender Aussicht nach Süden und Westen in Richtung Stuttgart und Nesenbachtal sowie nach Norden und Osten zu Rosenstein und Neckartal. Zur Erschließung des Geländes übernahm er den Feldweg von Berg nach Gablenberg, der das spätere Parkgelände in den oberen und unteren Park teilte und den abzweigenden Feldweg auf den Höllschen Bühl.</w:t>
      </w:r>
    </w:p>
    <w:p w:rsidR="00042082" w:rsidRDefault="00042082" w:rsidP="00042082"/>
    <w:p w:rsidR="00042082" w:rsidRDefault="00042082" w:rsidP="00042082">
      <w:r>
        <w:t>Die in Zusammenhang mit der Baumaßnahme vorbereitenden Terrainarbeiten im oberen Park ergaben eine Abfolge von Gartenterrassen im Süden und Westen, die von dichtem Boskett mit eingebauten Sitzplätzen umgeben waren. Im Norden wurden auf aufgeschüttetem Gelände zwei Flügelbauten zur Unterbringung von Küche und Remise gebaut. Weiterführende Lindenalleen erschlossen das Gelände bis an den nördlichen Parkrand wo ein Aussichtsplatz mit Fontänenbecken das Ende der gebauten Achse markierte.</w:t>
      </w:r>
    </w:p>
    <w:p w:rsidR="00042082" w:rsidRDefault="00042082" w:rsidP="00042082">
      <w:r>
        <w:t xml:space="preserve">Der Gesamtkonzeption von Gebäuden und Erschließung legte Leins die Kreuzform zugrunde, wobei die zweigeschossige Villa nicht im Schnittpunkt, sondern am südlichen Achsenende auf einem Sockelgeschoss errichtet wurde. Im Schnittpunkt der Achsen lag ein formal gestalteter Ehrenhof, zwischen den Flügelbauten. Die Haupterschließungsachse führte, von Osten kommend, über eine vierreihige Platanenallee in den Ehrenhof zum Haupteingang der Villa. In Verlängerung nach Westen wurden auf dieser Achse Gartenterrassen im gemischten Stil angeordnet. Auf der obersten Gartenterrasse prägten Pergolen, Veranden und Springbrunnen das Bild eines mit Wechselflorbeeten und Vasen geschmückten Blumengartens. </w:t>
      </w:r>
    </w:p>
    <w:p w:rsidR="00042082" w:rsidRDefault="00042082" w:rsidP="00042082"/>
    <w:p w:rsidR="00042082" w:rsidRDefault="00042082" w:rsidP="00042082">
      <w:r>
        <w:t>Auf der tieferliegenden Terrasse bestimmten ein halbkreisförmiges Wasserbecken und ein amphitheatralisch ausgebildeter Weinberg das Bild. Das Ganze lag eingearbeitet in der klassischen, zeittypischen Grundform des Hippodroms. Bauteile und skulpturale Fassadenteile des neuen Lusthauses wurden in den Gartenterrassen und in der Fassade der Villa eingebaut. So bildeten die Säulen des Lusthauses die nördliche Pergola im villennahen Blumengarten. Abschließend wurde tiefer gelegenes Weinberggelände und Obstwiesen in die Parkanlage intergiert.</w:t>
      </w:r>
    </w:p>
    <w:p w:rsidR="00042082" w:rsidRDefault="00042082" w:rsidP="00042082"/>
    <w:p w:rsidR="00042082" w:rsidRDefault="00042082" w:rsidP="00042082">
      <w:r>
        <w:t>Neben einer 1848 fertiggestellten Orangerie in der Form einer Zweiflügelanlage zierten weitere Gebäude wie zum Beispiel ein Portiershaus oder ein Pumpenhaus für die umfangreichen Wasserspiele den westlichen Parkeingang und das Umfeld des östlichen Mühlrains, der Abbruchkante des Parks zum Neckar hin. Mit angelegten Aussichtspunkten auf den Rosenstein und auf den Württemberg wurden zusätzlich dynastische Verbindungen dargestellt und die eigene Herrschaft kanonisiert.</w:t>
      </w:r>
    </w:p>
    <w:p w:rsidR="00042082" w:rsidRDefault="00042082" w:rsidP="00042082">
      <w:r>
        <w:t xml:space="preserve">Im unteren Park, an der Grenze zum zweiten Berger Kirchhof von 1825 entstand ein landschaftlich angelegtes Labyrinth gefolgt von einem Wiesenthal mit Bachlauf und Teichen und einem ovalen Wasserbecken in der Blickachse der Hauptallee. Im Süden schloss der Parkteil mit regelmäßig angelegten Orangerie- und Küchengärten ab. In </w:t>
      </w:r>
      <w:r>
        <w:lastRenderedPageBreak/>
        <w:t>den ersteren wurde umfangreiche Pflanzensammlung präsentiert. Zusätzlich bildete das Ruinental ebenfalls einen Anziehungspunkt unter der Häufung der Einbauten im Park.</w:t>
      </w:r>
    </w:p>
    <w:p w:rsidR="00042082" w:rsidRDefault="00042082" w:rsidP="00042082">
      <w:r>
        <w:t xml:space="preserve">Den östlich angrenzenden Mühlrain durchzog ein dichtes Netz von Serpentinenwegen. Im steil abfallenden Hang boten Sitzplätze Aussichten ins Neckartal. Weitere Ausstattungselemente wie eine Kolonnade, ein Wasserfall, ein Hirschbrunnen und modische Steingärten mit Alpenpflanzen boten zusätzliche Zerstreuung. Daneben war ein reiches Skulpturenprogramm integraler Bestandteil der Parkgestaltung und schmückte das Umfeld der Gebäude. </w:t>
      </w:r>
    </w:p>
    <w:p w:rsidR="00042082" w:rsidRDefault="00042082" w:rsidP="00042082">
      <w:r>
        <w:t xml:space="preserve">Im überkommenen Weinberg, am Ende der Gartenachse fügte zwischen 1860 – 1865 Joseph von Egle das klassizistische Belvedere mit dem terrassierten und ebenfalls von Pergolen und Veranden umgebenen Rosengarten hinzu. </w:t>
      </w:r>
    </w:p>
    <w:p w:rsidR="00042082" w:rsidRDefault="00042082" w:rsidP="00042082">
      <w:r>
        <w:t>Die letzte große bildprägende Maßnahme stellte der Bau der „Kleinen Villa“ westlich der Orangerie dar. Mit kleineren Veränderungen, wie zum Beispiel der Einbau des aus mehreren Findlingen bestehenden und erhaltenen Champigny-Denkmals im unteren Park, blieb die Gesamtanlage unter der Herzogin erhalten, bis ihre Erben das Anwesen 1913 der Stadt Stuttgart unter der Maßgabe Park und Villa zu pflegen und zu erhalten, verkauften.</w:t>
      </w:r>
    </w:p>
    <w:p w:rsidR="00042082" w:rsidRDefault="00042082" w:rsidP="00042082"/>
    <w:p w:rsidR="00042082" w:rsidRDefault="00042082" w:rsidP="00042082">
      <w:r>
        <w:t xml:space="preserve">Unter der neuen Eigentümerin erfolgte der Umbau vom repräsentativen Privatpark zum Stadtpark. Ab 1925 wurde die Villa für städtische Zwecke wie Veranstaltungen und Empfänge genutzt. Zusätzlich wurde in den Ställen und Remisen der Flügelbauten unter Einbeziehung der Westterrasse ein Vergnügungslokal eingerichtet. Der Blumengarten verlor seine üppigen Teppichbeete zugunsten einer reduzierteren Beetgestaltung unter anderem mit einem großflächigen Rosenbeet anstelle der mittleren Veranda. </w:t>
      </w:r>
    </w:p>
    <w:p w:rsidR="00042082" w:rsidRDefault="00042082" w:rsidP="00042082">
      <w:r>
        <w:t xml:space="preserve">Im Park entstand ein erster Kinderspielplatz an der unteren Südterrasse. Die Anzahl der Ausstattungsgegenstände wurde peu a peu verringert. Erste Auslichtungsmaßnahmen wurden im Zusammenhang mit der Anlage eines Rundwegs im unteren Park durchgeführt. Ebenso entstand ein </w:t>
      </w:r>
      <w:bookmarkStart w:id="0" w:name="_Hlk510101010"/>
      <w:r>
        <w:t>neuer Parkzugang (Eingang Poststraße) an der Südostecke. Die nachfolgenden Kriegszerstörungen betrafen die Villa und die Orangerie; der Park blieb unversehrt.</w:t>
      </w:r>
    </w:p>
    <w:p w:rsidR="00042082" w:rsidRDefault="00042082" w:rsidP="00042082"/>
    <w:p w:rsidR="00042082" w:rsidRDefault="00042082" w:rsidP="00042082">
      <w:r>
        <w:t>Ab 1951 richtete sich der Süddeutsche Rundfunk zunächst in der Villa (Villa Berg 1) mit einem neuen Sendesaal ein. In der Nordachse des Parks errichtete der Architekt Gutbrod 1959 ein neues Rundfunkgebäude (Villa Berg 2) anstelle der Flügelbauten. Auf dem abgezweigten Gelände der Orangerie entstand die Cotta-Schule. Die aufgegebene Friedhofsfläche des zweiten Berger Friedhofs arrondierte seit 1952 das nordöstliche Parkgelände und ein weiterer Parkzugang mit Anbindung zur Berger Kirche (Eingang Berger Kirche) wurde eingerichtet.</w:t>
      </w:r>
    </w:p>
    <w:bookmarkEnd w:id="0"/>
    <w:p w:rsidR="00042082" w:rsidRDefault="00042082" w:rsidP="00042082">
      <w:r>
        <w:t>Unter dem neuen Gartenamtsleiter Dr. Werner Kaufmann erfolgte schließlich die Wiederherstellung des Parks in den Sechzigerjahren „als modernes Gartendenkmal“, die bis heute bildprägend erhalten geblieben ist. Das Gartenamt gestaltete im Laufe der Zeit die maßgeblichen Aufenthaltsbereiche des Parks mit Ausnahme der westlichen Gartenterrassen in hoher, noch immer ablesbarer Qualität.</w:t>
      </w:r>
    </w:p>
    <w:p w:rsidR="00042082" w:rsidRDefault="00042082" w:rsidP="00042082">
      <w:r>
        <w:t xml:space="preserve">Von den ehemals formalen Bereichen auf den Leins’schen Gartenachsen wurde 1964 zuerst der nördliche Aussichtsplatz gebaut. Es folgte 1964 / 65 die Gestaltung des Gartenhofes zwischen Villa Berg 2 und den neuen Fernsehstudios (Villa Berg 3). Anstelle der ehemaligen Hauptallee wurde 1966 ein großer Spielplatz mit Aufenthaltsbereich und Aussichtsplatz für Erwachse und im Ruinental ein Abenteuerspielplatz mit Hängebrücken gebaut. Ab 1966 folgten ein Wasser- und Staudengarten anstelle der beiden unteren Südterrassen mit U-Steinen zur Beet- und </w:t>
      </w:r>
      <w:r>
        <w:lastRenderedPageBreak/>
        <w:t xml:space="preserve">Sitzgestaltung sowie ein mehrstufiger Wasserkaskadenbau in die Böschung der 1961 gebauten Tiefgarage. In diesem Zusammenhang wurden neue, befahrbare Parkstraßen zur Versorgung der Sendegebäude hergestellt und die angestrebte Trennung von Fahr- und Fußgängerverkehr durch den Bau von Fußgängerbrücken realisiert. Zusätzlich wurde neben dem neu gestalteten Südeingang ein neuer Südosteingang mit weiteren Aufenthalts- und Spielplätzen als große Geste eingerichtet und im Anschluss der neue Verbindungsweg nach Berg (Leinsweg) angelegt. </w:t>
      </w:r>
    </w:p>
    <w:p w:rsidR="00042082" w:rsidRDefault="00042082" w:rsidP="00042082">
      <w:r>
        <w:t xml:space="preserve">An den Parkwegen entstanden moderne Bankplätze mit neuen Bänken, die bis heute erhalten sind. Der Mühlrain blieb spätestens ab dieser Zeit sich selbst überlassen. </w:t>
      </w:r>
    </w:p>
    <w:p w:rsidR="00042082" w:rsidRDefault="00042082" w:rsidP="00042082"/>
    <w:p w:rsidR="00042082" w:rsidRDefault="00042082" w:rsidP="00042082">
      <w:r>
        <w:t>1977 gelang die bauliche Anbindung des Parks mit dem Trollinger Steg an die Unteren Anlagen im Rahmen der Bundesgartenschau. In diesem Zusammenhang wurde der nordwestliche Bereich in der für die Siebzigerjahre typischen, geschwungenen, amorphen Bauweise gestaltet und ist so bis heute erhalten. Auch die Einbauten, wie Skulpturen, Terrassen, Sitzplätze und ein Parkrestaurant sind erhalten geblieben und werden genutzt. Ein weiterer Parkzugang entstand im Südwesten (Eingang Werder Straße). Ebenfalls in diese Zeit fällt die Errichtung eines abgeschlossenen, privaten Spielplatzes einer Kita auf dem Gelände des ehemaligen zweiten Berger Friedhofs. In den folgenden Jahrzehnten kommt es zum kontinuierlichen Abbau der Ausstattungselemente im Blumengarten.</w:t>
      </w:r>
    </w:p>
    <w:p w:rsidR="00042082" w:rsidRDefault="00042082" w:rsidP="00042082"/>
    <w:p w:rsidR="00042082" w:rsidRDefault="00042082" w:rsidP="00042082">
      <w:r>
        <w:t>Zusammenfassend lässt die Aufarbeitung der umfangreichen Quellenlage im Abgleich mit dem Bestand im Wesentlichen vier Leitzeitebenen für die Wiederherstellung der Parkanlage zu:</w:t>
      </w:r>
    </w:p>
    <w:p w:rsidR="00042082" w:rsidRDefault="00042082" w:rsidP="00042082"/>
    <w:p w:rsidR="00042082" w:rsidRDefault="00042082" w:rsidP="00042082">
      <w:pPr>
        <w:ind w:left="3402" w:hanging="3402"/>
      </w:pPr>
      <w:r>
        <w:t xml:space="preserve">Die Leitzeitebene 1854 – 1913 </w:t>
      </w:r>
      <w:r>
        <w:tab/>
        <w:t>beschreibt die Zeitebene der Entstehung des Gartendenkmals bis zu seiner Veräußerung an die Stadt Stuttgart.</w:t>
      </w:r>
    </w:p>
    <w:p w:rsidR="00042082" w:rsidRDefault="00042082" w:rsidP="00042082">
      <w:pPr>
        <w:ind w:left="3402" w:hanging="3402"/>
      </w:pPr>
      <w:r>
        <w:t>Die Leitzeitebene 1914 – 1947, beschreibt die Phase der städtischen Nutzung und des Umbaus der Parkanlage zum Stadtpark in der Zwischenkriegszeit.</w:t>
      </w:r>
    </w:p>
    <w:p w:rsidR="00042082" w:rsidRDefault="00042082" w:rsidP="00042082">
      <w:pPr>
        <w:ind w:left="3402" w:hanging="3402"/>
      </w:pPr>
      <w:r>
        <w:t>Die Leitzeitebene 1948 – 1972 umfasst die bis heute bildprägenden Umgestaltungen der Sechzigerjahre.</w:t>
      </w:r>
    </w:p>
    <w:p w:rsidR="00042082" w:rsidRDefault="00042082" w:rsidP="00042082">
      <w:pPr>
        <w:ind w:left="3402" w:hanging="3402"/>
      </w:pPr>
      <w:r>
        <w:t>Die Leitzeitebene 1973 – 1977 grenzt den Geländezugewinn im Rahmen der BUGA 77 mit seinem vorhandenen Bestand der Siebzigerjahre ein.</w:t>
      </w:r>
    </w:p>
    <w:p w:rsidR="00042082" w:rsidRDefault="00042082" w:rsidP="00042082"/>
    <w:p w:rsidR="00A30A37" w:rsidRDefault="00A30A37">
      <w:bookmarkStart w:id="1" w:name="_GoBack"/>
      <w:bookmarkEnd w:id="1"/>
    </w:p>
    <w:sectPr w:rsidR="00A30A37" w:rsidSect="00127FBB">
      <w:pgSz w:w="11906" w:h="16838" w:code="9"/>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506F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A429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4274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2CB0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75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D4D4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D880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26244"/>
    <w:lvl w:ilvl="0">
      <w:start w:val="1"/>
      <w:numFmt w:val="bullet"/>
      <w:pStyle w:val="Aufzhlungszeichen2"/>
      <w:lvlText w:val="–"/>
      <w:lvlJc w:val="left"/>
      <w:pPr>
        <w:tabs>
          <w:tab w:val="num" w:pos="454"/>
        </w:tabs>
        <w:ind w:left="454" w:hanging="227"/>
      </w:pPr>
      <w:rPr>
        <w:rFonts w:ascii="Arial" w:hAnsi="Arial" w:hint="default"/>
      </w:rPr>
    </w:lvl>
  </w:abstractNum>
  <w:abstractNum w:abstractNumId="8" w15:restartNumberingAfterBreak="0">
    <w:nsid w:val="FFFFFF88"/>
    <w:multiLevelType w:val="singleLevel"/>
    <w:tmpl w:val="E924C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2B14C"/>
    <w:lvl w:ilvl="0">
      <w:start w:val="1"/>
      <w:numFmt w:val="bullet"/>
      <w:pStyle w:val="Aufzhlungszeichen"/>
      <w:lvlText w:val=""/>
      <w:lvlJc w:val="left"/>
      <w:pPr>
        <w:tabs>
          <w:tab w:val="num" w:pos="227"/>
        </w:tabs>
        <w:ind w:left="227" w:hanging="22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styleLockTheme/>
  <w:styleLockQFSet/>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82"/>
    <w:rsid w:val="00021192"/>
    <w:rsid w:val="00042082"/>
    <w:rsid w:val="000A2B30"/>
    <w:rsid w:val="00127FBB"/>
    <w:rsid w:val="00146588"/>
    <w:rsid w:val="0018209F"/>
    <w:rsid w:val="002B7BE6"/>
    <w:rsid w:val="002E3CA2"/>
    <w:rsid w:val="00315EF2"/>
    <w:rsid w:val="00503F1C"/>
    <w:rsid w:val="005E06BB"/>
    <w:rsid w:val="0065345C"/>
    <w:rsid w:val="00692A4D"/>
    <w:rsid w:val="00751EB4"/>
    <w:rsid w:val="00774B55"/>
    <w:rsid w:val="00815EEC"/>
    <w:rsid w:val="008573D9"/>
    <w:rsid w:val="009524A3"/>
    <w:rsid w:val="00A30A37"/>
    <w:rsid w:val="00B24B9C"/>
    <w:rsid w:val="00B46310"/>
    <w:rsid w:val="00B74FCD"/>
    <w:rsid w:val="00C7191B"/>
    <w:rsid w:val="00C93953"/>
    <w:rsid w:val="00D20036"/>
    <w:rsid w:val="00E17623"/>
    <w:rsid w:val="00F226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54433-40A3-4CCC-96AF-34318CEC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2082"/>
    <w:rPr>
      <w:rFonts w:eastAsia="Times New Roman" w:cs="Times New Roman"/>
      <w:sz w:val="24"/>
      <w:szCs w:val="20"/>
      <w:lang w:eastAsia="de-DE"/>
    </w:rPr>
  </w:style>
  <w:style w:type="paragraph" w:styleId="berschrift1">
    <w:name w:val="heading 1"/>
    <w:basedOn w:val="Standard"/>
    <w:next w:val="Standard"/>
    <w:link w:val="berschrift1Zchn"/>
    <w:uiPriority w:val="9"/>
    <w:qFormat/>
    <w:rsid w:val="00815EEC"/>
    <w:pPr>
      <w:keepNext/>
      <w:keepLines/>
      <w:spacing w:before="480"/>
      <w:outlineLvl w:val="0"/>
    </w:pPr>
    <w:rPr>
      <w:rFonts w:eastAsiaTheme="majorEastAsia" w:cstheme="majorBidi"/>
      <w:b/>
      <w:bCs/>
      <w:sz w:val="28"/>
      <w:szCs w:val="28"/>
      <w:lang w:eastAsia="en-US"/>
    </w:rPr>
  </w:style>
  <w:style w:type="paragraph" w:styleId="berschrift2">
    <w:name w:val="heading 2"/>
    <w:basedOn w:val="Standard"/>
    <w:next w:val="Standard"/>
    <w:link w:val="berschrift2Zchn"/>
    <w:uiPriority w:val="9"/>
    <w:semiHidden/>
    <w:unhideWhenUsed/>
    <w:qFormat/>
    <w:rsid w:val="00815EEC"/>
    <w:pPr>
      <w:keepNext/>
      <w:keepLines/>
      <w:spacing w:before="200"/>
      <w:outlineLvl w:val="1"/>
    </w:pPr>
    <w:rPr>
      <w:rFonts w:eastAsiaTheme="majorEastAsia" w:cstheme="majorBidi"/>
      <w:b/>
      <w:bCs/>
      <w:sz w:val="26"/>
      <w:szCs w:val="26"/>
      <w:lang w:eastAsia="en-US"/>
    </w:rPr>
  </w:style>
  <w:style w:type="paragraph" w:styleId="berschrift3">
    <w:name w:val="heading 3"/>
    <w:basedOn w:val="Standard"/>
    <w:next w:val="Standard"/>
    <w:link w:val="berschrift3Zchn"/>
    <w:uiPriority w:val="9"/>
    <w:semiHidden/>
    <w:unhideWhenUsed/>
    <w:qFormat/>
    <w:rsid w:val="00815EEC"/>
    <w:pPr>
      <w:keepNext/>
      <w:keepLines/>
      <w:spacing w:before="200"/>
      <w:outlineLvl w:val="2"/>
    </w:pPr>
    <w:rPr>
      <w:rFonts w:eastAsiaTheme="majorEastAsia" w:cstheme="majorBidi"/>
      <w:b/>
      <w:bCs/>
      <w:sz w:val="22"/>
      <w:szCs w:val="22"/>
      <w:lang w:eastAsia="en-US"/>
    </w:rPr>
  </w:style>
  <w:style w:type="paragraph" w:styleId="berschrift4">
    <w:name w:val="heading 4"/>
    <w:basedOn w:val="Standard"/>
    <w:next w:val="Standard"/>
    <w:link w:val="berschrift4Zchn"/>
    <w:uiPriority w:val="9"/>
    <w:semiHidden/>
    <w:unhideWhenUsed/>
    <w:qFormat/>
    <w:rsid w:val="00815EEC"/>
    <w:pPr>
      <w:keepNext/>
      <w:keepLines/>
      <w:spacing w:before="200"/>
      <w:outlineLvl w:val="3"/>
    </w:pPr>
    <w:rPr>
      <w:rFonts w:eastAsiaTheme="majorEastAsia" w:cstheme="majorBidi"/>
      <w:b/>
      <w:bCs/>
      <w:i/>
      <w:iCs/>
      <w:sz w:val="22"/>
      <w:szCs w:val="22"/>
      <w:lang w:eastAsia="en-US"/>
    </w:rPr>
  </w:style>
  <w:style w:type="paragraph" w:styleId="berschrift5">
    <w:name w:val="heading 5"/>
    <w:basedOn w:val="Standard"/>
    <w:next w:val="Standard"/>
    <w:link w:val="berschrift5Zchn"/>
    <w:uiPriority w:val="9"/>
    <w:semiHidden/>
    <w:unhideWhenUsed/>
    <w:qFormat/>
    <w:rsid w:val="00815EEC"/>
    <w:pPr>
      <w:keepNext/>
      <w:keepLines/>
      <w:spacing w:before="200"/>
      <w:outlineLvl w:val="4"/>
    </w:pPr>
    <w:rPr>
      <w:rFonts w:eastAsiaTheme="majorEastAsia" w:cstheme="majorBidi"/>
      <w:sz w:val="22"/>
      <w:szCs w:val="22"/>
      <w:lang w:eastAsia="en-US"/>
    </w:rPr>
  </w:style>
  <w:style w:type="paragraph" w:styleId="berschrift6">
    <w:name w:val="heading 6"/>
    <w:basedOn w:val="Standard"/>
    <w:next w:val="Standard"/>
    <w:link w:val="berschrift6Zchn"/>
    <w:uiPriority w:val="9"/>
    <w:semiHidden/>
    <w:unhideWhenUsed/>
    <w:qFormat/>
    <w:rsid w:val="00815EEC"/>
    <w:pPr>
      <w:keepNext/>
      <w:keepLines/>
      <w:spacing w:before="200"/>
      <w:outlineLvl w:val="5"/>
    </w:pPr>
    <w:rPr>
      <w:rFonts w:eastAsiaTheme="majorEastAsia" w:cstheme="majorBidi"/>
      <w:i/>
      <w:iCs/>
      <w:sz w:val="22"/>
      <w:szCs w:val="22"/>
      <w:lang w:eastAsia="en-US"/>
    </w:rPr>
  </w:style>
  <w:style w:type="paragraph" w:styleId="berschrift7">
    <w:name w:val="heading 7"/>
    <w:basedOn w:val="Standard"/>
    <w:next w:val="Standard"/>
    <w:link w:val="berschrift7Zchn"/>
    <w:uiPriority w:val="9"/>
    <w:semiHidden/>
    <w:unhideWhenUsed/>
    <w:qFormat/>
    <w:rsid w:val="00815EEC"/>
    <w:pPr>
      <w:keepNext/>
      <w:keepLines/>
      <w:spacing w:before="200"/>
      <w:outlineLvl w:val="6"/>
    </w:pPr>
    <w:rPr>
      <w:rFonts w:eastAsiaTheme="majorEastAsia" w:cstheme="majorBidi"/>
      <w:i/>
      <w:iCs/>
      <w:sz w:val="22"/>
      <w:szCs w:val="22"/>
      <w:lang w:eastAsia="en-US"/>
    </w:rPr>
  </w:style>
  <w:style w:type="paragraph" w:styleId="berschrift8">
    <w:name w:val="heading 8"/>
    <w:basedOn w:val="Standard"/>
    <w:next w:val="Standard"/>
    <w:link w:val="berschrift8Zchn"/>
    <w:uiPriority w:val="9"/>
    <w:semiHidden/>
    <w:unhideWhenUsed/>
    <w:qFormat/>
    <w:rsid w:val="00815EEC"/>
    <w:pPr>
      <w:keepNext/>
      <w:keepLines/>
      <w:spacing w:before="200"/>
      <w:outlineLvl w:val="7"/>
    </w:pPr>
    <w:rPr>
      <w:rFonts w:eastAsiaTheme="majorEastAsia" w:cstheme="majorBidi"/>
      <w:sz w:val="20"/>
      <w:lang w:eastAsia="en-US"/>
    </w:rPr>
  </w:style>
  <w:style w:type="paragraph" w:styleId="berschrift9">
    <w:name w:val="heading 9"/>
    <w:basedOn w:val="Standard"/>
    <w:next w:val="Standard"/>
    <w:link w:val="berschrift9Zchn"/>
    <w:uiPriority w:val="9"/>
    <w:semiHidden/>
    <w:unhideWhenUsed/>
    <w:qFormat/>
    <w:rsid w:val="00815EEC"/>
    <w:pPr>
      <w:keepNext/>
      <w:keepLines/>
      <w:spacing w:before="200"/>
      <w:outlineLvl w:val="8"/>
    </w:pPr>
    <w:rPr>
      <w:rFonts w:eastAsiaTheme="majorEastAsia" w:cstheme="majorBidi"/>
      <w:i/>
      <w:iCs/>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5EEC"/>
    <w:rPr>
      <w:rFonts w:eastAsiaTheme="majorEastAsia" w:cstheme="majorBidi"/>
      <w:b/>
      <w:bCs/>
      <w:sz w:val="28"/>
      <w:szCs w:val="28"/>
    </w:rPr>
  </w:style>
  <w:style w:type="character" w:customStyle="1" w:styleId="berschrift2Zchn">
    <w:name w:val="Überschrift 2 Zchn"/>
    <w:basedOn w:val="Absatz-Standardschriftart"/>
    <w:link w:val="berschrift2"/>
    <w:uiPriority w:val="9"/>
    <w:semiHidden/>
    <w:rsid w:val="00815EEC"/>
    <w:rPr>
      <w:rFonts w:eastAsiaTheme="majorEastAsia" w:cstheme="majorBidi"/>
      <w:b/>
      <w:bCs/>
      <w:sz w:val="26"/>
      <w:szCs w:val="26"/>
    </w:rPr>
  </w:style>
  <w:style w:type="character" w:customStyle="1" w:styleId="berschrift3Zchn">
    <w:name w:val="Überschrift 3 Zchn"/>
    <w:basedOn w:val="Absatz-Standardschriftart"/>
    <w:link w:val="berschrift3"/>
    <w:uiPriority w:val="9"/>
    <w:semiHidden/>
    <w:rsid w:val="00815EEC"/>
    <w:rPr>
      <w:rFonts w:eastAsiaTheme="majorEastAsia" w:cstheme="majorBidi"/>
      <w:b/>
      <w:bCs/>
    </w:rPr>
  </w:style>
  <w:style w:type="character" w:customStyle="1" w:styleId="berschrift4Zchn">
    <w:name w:val="Überschrift 4 Zchn"/>
    <w:basedOn w:val="Absatz-Standardschriftart"/>
    <w:link w:val="berschrift4"/>
    <w:uiPriority w:val="9"/>
    <w:semiHidden/>
    <w:rsid w:val="00815EEC"/>
    <w:rPr>
      <w:rFonts w:eastAsiaTheme="majorEastAsia" w:cstheme="majorBidi"/>
      <w:b/>
      <w:bCs/>
      <w:i/>
      <w:iCs/>
    </w:rPr>
  </w:style>
  <w:style w:type="character" w:customStyle="1" w:styleId="berschrift5Zchn">
    <w:name w:val="Überschrift 5 Zchn"/>
    <w:basedOn w:val="Absatz-Standardschriftart"/>
    <w:link w:val="berschrift5"/>
    <w:uiPriority w:val="9"/>
    <w:semiHidden/>
    <w:rsid w:val="00815EEC"/>
    <w:rPr>
      <w:rFonts w:eastAsiaTheme="majorEastAsia" w:cstheme="majorBidi"/>
    </w:rPr>
  </w:style>
  <w:style w:type="character" w:customStyle="1" w:styleId="berschrift6Zchn">
    <w:name w:val="Überschrift 6 Zchn"/>
    <w:basedOn w:val="Absatz-Standardschriftart"/>
    <w:link w:val="berschrift6"/>
    <w:uiPriority w:val="9"/>
    <w:semiHidden/>
    <w:rsid w:val="00815EEC"/>
    <w:rPr>
      <w:rFonts w:eastAsiaTheme="majorEastAsia" w:cstheme="majorBidi"/>
      <w:i/>
      <w:iCs/>
    </w:rPr>
  </w:style>
  <w:style w:type="character" w:customStyle="1" w:styleId="berschrift7Zchn">
    <w:name w:val="Überschrift 7 Zchn"/>
    <w:basedOn w:val="Absatz-Standardschriftart"/>
    <w:link w:val="berschrift7"/>
    <w:uiPriority w:val="9"/>
    <w:semiHidden/>
    <w:rsid w:val="00815EEC"/>
    <w:rPr>
      <w:rFonts w:eastAsiaTheme="majorEastAsia" w:cstheme="majorBidi"/>
      <w:i/>
      <w:iCs/>
    </w:rPr>
  </w:style>
  <w:style w:type="character" w:customStyle="1" w:styleId="berschrift8Zchn">
    <w:name w:val="Überschrift 8 Zchn"/>
    <w:basedOn w:val="Absatz-Standardschriftart"/>
    <w:link w:val="berschrift8"/>
    <w:uiPriority w:val="9"/>
    <w:semiHidden/>
    <w:rsid w:val="00815EEC"/>
    <w:rPr>
      <w:rFonts w:eastAsiaTheme="majorEastAsia" w:cstheme="majorBidi"/>
      <w:sz w:val="20"/>
      <w:szCs w:val="20"/>
    </w:rPr>
  </w:style>
  <w:style w:type="character" w:customStyle="1" w:styleId="berschrift9Zchn">
    <w:name w:val="Überschrift 9 Zchn"/>
    <w:basedOn w:val="Absatz-Standardschriftart"/>
    <w:link w:val="berschrift9"/>
    <w:uiPriority w:val="9"/>
    <w:semiHidden/>
    <w:rsid w:val="00815EEC"/>
    <w:rPr>
      <w:rFonts w:eastAsiaTheme="majorEastAsia" w:cstheme="majorBidi"/>
      <w:i/>
      <w:iCs/>
      <w:sz w:val="20"/>
      <w:szCs w:val="20"/>
    </w:rPr>
  </w:style>
  <w:style w:type="paragraph" w:styleId="Aufzhlungszeichen">
    <w:name w:val="List Bullet"/>
    <w:basedOn w:val="Standard"/>
    <w:uiPriority w:val="99"/>
    <w:qFormat/>
    <w:rsid w:val="009524A3"/>
    <w:pPr>
      <w:numPr>
        <w:numId w:val="11"/>
      </w:numPr>
    </w:pPr>
    <w:rPr>
      <w:rFonts w:eastAsiaTheme="minorHAnsi" w:cstheme="minorBidi"/>
      <w:sz w:val="22"/>
      <w:szCs w:val="22"/>
      <w:lang w:eastAsia="en-US"/>
    </w:rPr>
  </w:style>
  <w:style w:type="paragraph" w:styleId="Aufzhlungszeichen2">
    <w:name w:val="List Bullet 2"/>
    <w:basedOn w:val="Standard"/>
    <w:uiPriority w:val="99"/>
    <w:qFormat/>
    <w:rsid w:val="009524A3"/>
    <w:pPr>
      <w:numPr>
        <w:numId w:val="12"/>
      </w:numPr>
    </w:pPr>
    <w:rPr>
      <w:rFonts w:eastAsiaTheme="minorHAnsi" w:cstheme="minorBidi"/>
      <w:sz w:val="22"/>
      <w:szCs w:val="22"/>
      <w:lang w:eastAsia="en-US"/>
    </w:rPr>
  </w:style>
  <w:style w:type="paragraph" w:styleId="Inhaltsverzeichnisberschrift">
    <w:name w:val="TOC Heading"/>
    <w:basedOn w:val="berschrift1"/>
    <w:next w:val="Standard"/>
    <w:uiPriority w:val="39"/>
    <w:semiHidden/>
    <w:unhideWhenUsed/>
    <w:qFormat/>
    <w:rsid w:val="00C7191B"/>
    <w:pPr>
      <w:outlineLvl w:val="9"/>
    </w:pPr>
  </w:style>
  <w:style w:type="paragraph" w:styleId="Kopfzeile">
    <w:name w:val="header"/>
    <w:basedOn w:val="Standard"/>
    <w:link w:val="KopfzeileZchn"/>
    <w:semiHidden/>
    <w:unhideWhenUsed/>
    <w:rsid w:val="00042082"/>
    <w:pPr>
      <w:tabs>
        <w:tab w:val="center" w:pos="4536"/>
        <w:tab w:val="right" w:pos="9072"/>
      </w:tabs>
    </w:pPr>
  </w:style>
  <w:style w:type="character" w:customStyle="1" w:styleId="KopfzeileZchn">
    <w:name w:val="Kopfzeile Zchn"/>
    <w:basedOn w:val="Absatz-Standardschriftart"/>
    <w:link w:val="Kopfzeile"/>
    <w:semiHidden/>
    <w:rsid w:val="00042082"/>
    <w:rPr>
      <w:rFonts w:eastAsia="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6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7683E903.dotm</Template>
  <TotalTime>0</TotalTime>
  <Pages>3</Pages>
  <Words>1277</Words>
  <Characters>8050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LHS-Basisvorlage für Normal.dotm</vt:lpstr>
    </vt:vector>
  </TitlesOfParts>
  <Company>Landeshauptstadt Stuttgart</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LHS-Basisvorlage für Normal.dotm</dc:title>
  <dc:subject/>
  <dc:creator>u670029</dc:creator>
  <cp:keywords/>
  <dc:description/>
  <cp:lastModifiedBy>u670029</cp:lastModifiedBy>
  <cp:revision>1</cp:revision>
  <dcterms:created xsi:type="dcterms:W3CDTF">2018-10-01T12:43:00Z</dcterms:created>
  <dcterms:modified xsi:type="dcterms:W3CDTF">2018-10-01T12:44:00Z</dcterms:modified>
</cp:coreProperties>
</file>