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3273" w14:textId="6E057CBF" w:rsidR="003D7B0B" w:rsidRPr="009C147A" w:rsidRDefault="003D7B0B" w:rsidP="006E0575">
      <w:pPr>
        <w:tabs>
          <w:tab w:val="left" w:pos="5812"/>
        </w:tabs>
        <w:jc w:val="right"/>
        <w:rPr>
          <w:szCs w:val="24"/>
        </w:rPr>
      </w:pPr>
      <w:r w:rsidRPr="009C147A">
        <w:rPr>
          <w:szCs w:val="24"/>
        </w:rPr>
        <w:t xml:space="preserve">Anlage </w:t>
      </w:r>
      <w:r w:rsidR="00927AAF">
        <w:rPr>
          <w:szCs w:val="24"/>
        </w:rPr>
        <w:t>8</w:t>
      </w:r>
      <w:r w:rsidRPr="009C147A">
        <w:rPr>
          <w:szCs w:val="24"/>
        </w:rPr>
        <w:t xml:space="preserve"> zur GRDrs </w:t>
      </w:r>
      <w:r w:rsidR="00927AAF">
        <w:rPr>
          <w:szCs w:val="24"/>
        </w:rPr>
        <w:t>703</w:t>
      </w:r>
      <w:r w:rsidR="009E625C" w:rsidRPr="009C147A">
        <w:rPr>
          <w:szCs w:val="24"/>
        </w:rPr>
        <w:t>/2021</w:t>
      </w:r>
    </w:p>
    <w:p w14:paraId="5DDE4289" w14:textId="77777777" w:rsidR="003D7B0B" w:rsidRPr="009C147A" w:rsidRDefault="003D7B0B" w:rsidP="006E0575"/>
    <w:p w14:paraId="32AB7D07" w14:textId="77777777" w:rsidR="00184EDC" w:rsidRPr="009C147A" w:rsidRDefault="003D7B0B" w:rsidP="005A56AA">
      <w:pPr>
        <w:tabs>
          <w:tab w:val="left" w:pos="6521"/>
        </w:tabs>
        <w:jc w:val="center"/>
        <w:rPr>
          <w:b/>
          <w:sz w:val="36"/>
        </w:rPr>
      </w:pPr>
      <w:r w:rsidRPr="009C147A">
        <w:rPr>
          <w:b/>
          <w:sz w:val="36"/>
          <w:u w:val="single"/>
        </w:rPr>
        <w:t>Stellenschaffung</w:t>
      </w:r>
    </w:p>
    <w:p w14:paraId="77E847A9" w14:textId="5A20E9A5" w:rsidR="003D7B0B" w:rsidRPr="009C147A" w:rsidRDefault="00184EDC" w:rsidP="005A56AA">
      <w:pPr>
        <w:tabs>
          <w:tab w:val="left" w:pos="6521"/>
        </w:tabs>
        <w:jc w:val="center"/>
        <w:rPr>
          <w:b/>
          <w:sz w:val="36"/>
          <w:u w:val="single"/>
        </w:rPr>
      </w:pPr>
      <w:r w:rsidRPr="009C147A">
        <w:rPr>
          <w:b/>
          <w:sz w:val="36"/>
          <w:u w:val="single"/>
        </w:rPr>
        <w:t>zum Stellenplan 2</w:t>
      </w:r>
      <w:r w:rsidR="005E16BF" w:rsidRPr="009C147A">
        <w:rPr>
          <w:b/>
          <w:sz w:val="36"/>
          <w:u w:val="single"/>
        </w:rPr>
        <w:t>0</w:t>
      </w:r>
      <w:r w:rsidR="009E625C" w:rsidRPr="009C147A">
        <w:rPr>
          <w:b/>
          <w:sz w:val="36"/>
          <w:u w:val="single"/>
        </w:rPr>
        <w:t>22</w:t>
      </w:r>
    </w:p>
    <w:p w14:paraId="25122199" w14:textId="77777777" w:rsidR="003D7B0B" w:rsidRPr="009C147A"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9C147A" w:rsidRPr="009C147A" w14:paraId="61779AD4" w14:textId="77777777" w:rsidTr="005F5B3D">
        <w:trPr>
          <w:tblHeader/>
        </w:trPr>
        <w:tc>
          <w:tcPr>
            <w:tcW w:w="1814" w:type="dxa"/>
            <w:shd w:val="pct12" w:color="auto" w:fill="FFFFFF"/>
            <w:vAlign w:val="center"/>
          </w:tcPr>
          <w:p w14:paraId="439FA028" w14:textId="77777777" w:rsidR="00184EDC" w:rsidRPr="009C147A" w:rsidRDefault="005F5B3D" w:rsidP="005E19C6">
            <w:pPr>
              <w:spacing w:before="60" w:after="60" w:line="200" w:lineRule="exact"/>
              <w:ind w:left="-85" w:right="-85"/>
              <w:jc w:val="center"/>
              <w:rPr>
                <w:sz w:val="16"/>
                <w:szCs w:val="16"/>
              </w:rPr>
            </w:pPr>
            <w:r w:rsidRPr="009C147A">
              <w:rPr>
                <w:sz w:val="16"/>
                <w:szCs w:val="16"/>
              </w:rPr>
              <w:t>Org.-Einheit</w:t>
            </w:r>
            <w:r w:rsidRPr="009C147A">
              <w:rPr>
                <w:sz w:val="16"/>
                <w:szCs w:val="16"/>
              </w:rPr>
              <w:br/>
              <w:t xml:space="preserve">(aut. </w:t>
            </w:r>
            <w:proofErr w:type="spellStart"/>
            <w:r w:rsidRPr="009C147A">
              <w:rPr>
                <w:sz w:val="16"/>
                <w:szCs w:val="16"/>
              </w:rPr>
              <w:t>Stpl</w:t>
            </w:r>
            <w:proofErr w:type="spellEnd"/>
            <w:r w:rsidRPr="009C147A">
              <w:rPr>
                <w:sz w:val="16"/>
                <w:szCs w:val="16"/>
              </w:rPr>
              <w:t>.)</w:t>
            </w:r>
            <w:r w:rsidR="00380937" w:rsidRPr="009C147A">
              <w:rPr>
                <w:sz w:val="16"/>
                <w:szCs w:val="16"/>
              </w:rPr>
              <w:t>,</w:t>
            </w:r>
          </w:p>
          <w:p w14:paraId="5DCFF380" w14:textId="77777777" w:rsidR="005F5B3D" w:rsidRPr="009C147A" w:rsidRDefault="005F5B3D" w:rsidP="005E19C6">
            <w:pPr>
              <w:spacing w:before="60" w:after="60" w:line="200" w:lineRule="exact"/>
              <w:ind w:left="-85" w:right="-85"/>
              <w:jc w:val="center"/>
              <w:rPr>
                <w:sz w:val="16"/>
                <w:szCs w:val="16"/>
              </w:rPr>
            </w:pPr>
            <w:r w:rsidRPr="009C147A">
              <w:rPr>
                <w:sz w:val="16"/>
                <w:szCs w:val="16"/>
              </w:rPr>
              <w:br/>
              <w:t>Kostenstelle</w:t>
            </w:r>
          </w:p>
        </w:tc>
        <w:tc>
          <w:tcPr>
            <w:tcW w:w="1701" w:type="dxa"/>
            <w:shd w:val="pct12" w:color="auto" w:fill="FFFFFF"/>
            <w:vAlign w:val="center"/>
          </w:tcPr>
          <w:p w14:paraId="0DBD4E98" w14:textId="77777777" w:rsidR="005F5B3D" w:rsidRPr="009C147A" w:rsidRDefault="005F5B3D" w:rsidP="005E19C6">
            <w:pPr>
              <w:spacing w:before="60" w:after="60" w:line="200" w:lineRule="exact"/>
              <w:ind w:left="-85" w:right="-85"/>
              <w:jc w:val="center"/>
              <w:rPr>
                <w:sz w:val="16"/>
                <w:szCs w:val="16"/>
              </w:rPr>
            </w:pPr>
            <w:r w:rsidRPr="009C147A">
              <w:rPr>
                <w:sz w:val="16"/>
                <w:szCs w:val="16"/>
              </w:rPr>
              <w:t>Amt</w:t>
            </w:r>
          </w:p>
        </w:tc>
        <w:tc>
          <w:tcPr>
            <w:tcW w:w="794" w:type="dxa"/>
            <w:shd w:val="pct12" w:color="auto" w:fill="FFFFFF"/>
            <w:vAlign w:val="center"/>
          </w:tcPr>
          <w:p w14:paraId="327CCF92" w14:textId="77777777" w:rsidR="00606F80" w:rsidRPr="009C147A" w:rsidRDefault="00606F80" w:rsidP="00606F80">
            <w:pPr>
              <w:spacing w:before="60" w:after="60" w:line="200" w:lineRule="exact"/>
              <w:ind w:left="-85" w:right="-85"/>
              <w:jc w:val="center"/>
              <w:rPr>
                <w:sz w:val="16"/>
                <w:szCs w:val="16"/>
              </w:rPr>
            </w:pPr>
            <w:r w:rsidRPr="009C147A">
              <w:rPr>
                <w:sz w:val="16"/>
                <w:szCs w:val="16"/>
              </w:rPr>
              <w:t>BesGr.</w:t>
            </w:r>
          </w:p>
          <w:p w14:paraId="7933F046" w14:textId="77777777" w:rsidR="00606F80" w:rsidRPr="009C147A" w:rsidRDefault="00606F80" w:rsidP="00606F80">
            <w:pPr>
              <w:spacing w:before="60" w:after="60" w:line="200" w:lineRule="exact"/>
              <w:ind w:left="-85" w:right="-85"/>
              <w:jc w:val="center"/>
              <w:rPr>
                <w:sz w:val="16"/>
                <w:szCs w:val="16"/>
              </w:rPr>
            </w:pPr>
            <w:r w:rsidRPr="009C147A">
              <w:rPr>
                <w:sz w:val="16"/>
                <w:szCs w:val="16"/>
              </w:rPr>
              <w:t>oder</w:t>
            </w:r>
          </w:p>
          <w:p w14:paraId="58959E45" w14:textId="77777777" w:rsidR="00606F80" w:rsidRPr="009C147A" w:rsidRDefault="00606F80" w:rsidP="00606F80">
            <w:pPr>
              <w:spacing w:before="60" w:after="60" w:line="200" w:lineRule="exact"/>
              <w:ind w:left="-85" w:right="-85"/>
              <w:jc w:val="center"/>
              <w:rPr>
                <w:sz w:val="16"/>
                <w:szCs w:val="16"/>
              </w:rPr>
            </w:pPr>
            <w:r w:rsidRPr="009C147A">
              <w:rPr>
                <w:sz w:val="16"/>
                <w:szCs w:val="16"/>
              </w:rPr>
              <w:t>EG</w:t>
            </w:r>
          </w:p>
        </w:tc>
        <w:tc>
          <w:tcPr>
            <w:tcW w:w="1928" w:type="dxa"/>
            <w:shd w:val="pct12" w:color="auto" w:fill="FFFFFF"/>
            <w:vAlign w:val="center"/>
          </w:tcPr>
          <w:p w14:paraId="7EE5AC2E" w14:textId="77777777" w:rsidR="005F5B3D" w:rsidRPr="009C147A" w:rsidRDefault="005F5B3D" w:rsidP="005E19C6">
            <w:pPr>
              <w:spacing w:before="60" w:after="60" w:line="200" w:lineRule="exact"/>
              <w:ind w:left="-85" w:right="-85"/>
              <w:jc w:val="center"/>
              <w:rPr>
                <w:sz w:val="16"/>
                <w:szCs w:val="16"/>
              </w:rPr>
            </w:pPr>
            <w:r w:rsidRPr="009C147A">
              <w:rPr>
                <w:sz w:val="16"/>
                <w:szCs w:val="16"/>
              </w:rPr>
              <w:t>Funktionsbezeichnung</w:t>
            </w:r>
          </w:p>
        </w:tc>
        <w:tc>
          <w:tcPr>
            <w:tcW w:w="737" w:type="dxa"/>
            <w:shd w:val="pct12" w:color="auto" w:fill="FFFFFF"/>
            <w:vAlign w:val="center"/>
          </w:tcPr>
          <w:p w14:paraId="4C0B6F39" w14:textId="77777777" w:rsidR="005F5B3D" w:rsidRPr="009C147A" w:rsidRDefault="005F5B3D" w:rsidP="005E19C6">
            <w:pPr>
              <w:spacing w:before="60" w:after="60" w:line="200" w:lineRule="exact"/>
              <w:ind w:left="-85" w:right="-85"/>
              <w:jc w:val="center"/>
              <w:rPr>
                <w:sz w:val="16"/>
                <w:szCs w:val="16"/>
              </w:rPr>
            </w:pPr>
            <w:r w:rsidRPr="009C147A">
              <w:rPr>
                <w:sz w:val="16"/>
                <w:szCs w:val="16"/>
              </w:rPr>
              <w:t>Anzahl</w:t>
            </w:r>
            <w:r w:rsidRPr="009C147A">
              <w:rPr>
                <w:sz w:val="16"/>
                <w:szCs w:val="16"/>
              </w:rPr>
              <w:br/>
              <w:t>der</w:t>
            </w:r>
            <w:r w:rsidRPr="009C147A">
              <w:rPr>
                <w:sz w:val="16"/>
                <w:szCs w:val="16"/>
              </w:rPr>
              <w:br/>
              <w:t>Stellen</w:t>
            </w:r>
          </w:p>
        </w:tc>
        <w:tc>
          <w:tcPr>
            <w:tcW w:w="1134" w:type="dxa"/>
            <w:shd w:val="pct12" w:color="auto" w:fill="FFFFFF"/>
            <w:vAlign w:val="center"/>
          </w:tcPr>
          <w:p w14:paraId="6DB6CA20" w14:textId="77777777" w:rsidR="005F5B3D" w:rsidRPr="009C147A" w:rsidRDefault="005F5B3D" w:rsidP="005E19C6">
            <w:pPr>
              <w:spacing w:before="60" w:after="60" w:line="200" w:lineRule="exact"/>
              <w:ind w:left="-85" w:right="-85"/>
              <w:jc w:val="center"/>
              <w:rPr>
                <w:sz w:val="16"/>
                <w:szCs w:val="16"/>
              </w:rPr>
            </w:pPr>
            <w:r w:rsidRPr="009C147A">
              <w:rPr>
                <w:sz w:val="16"/>
                <w:szCs w:val="16"/>
              </w:rPr>
              <w:t>Stellen-</w:t>
            </w:r>
            <w:r w:rsidRPr="009C147A">
              <w:rPr>
                <w:sz w:val="16"/>
                <w:szCs w:val="16"/>
              </w:rPr>
              <w:br/>
              <w:t>vermerk</w:t>
            </w:r>
          </w:p>
        </w:tc>
        <w:tc>
          <w:tcPr>
            <w:tcW w:w="1417" w:type="dxa"/>
            <w:shd w:val="pct12" w:color="auto" w:fill="FFFFFF"/>
            <w:vAlign w:val="center"/>
          </w:tcPr>
          <w:p w14:paraId="18752776" w14:textId="77777777" w:rsidR="005F5B3D" w:rsidRPr="009C147A" w:rsidRDefault="005F5B3D" w:rsidP="005E19C6">
            <w:pPr>
              <w:spacing w:before="60" w:after="60" w:line="200" w:lineRule="exact"/>
              <w:ind w:left="-85" w:right="-85"/>
              <w:jc w:val="center"/>
              <w:rPr>
                <w:sz w:val="16"/>
                <w:szCs w:val="16"/>
              </w:rPr>
            </w:pPr>
            <w:r w:rsidRPr="009C147A">
              <w:rPr>
                <w:sz w:val="16"/>
                <w:szCs w:val="16"/>
              </w:rPr>
              <w:t>durchschnittl.</w:t>
            </w:r>
            <w:r w:rsidRPr="009C147A">
              <w:rPr>
                <w:sz w:val="16"/>
                <w:szCs w:val="16"/>
              </w:rPr>
              <w:br/>
              <w:t>jährl. kosten-</w:t>
            </w:r>
            <w:r w:rsidRPr="009C147A">
              <w:rPr>
                <w:sz w:val="16"/>
                <w:szCs w:val="16"/>
              </w:rPr>
              <w:br/>
              <w:t>wirksamer</w:t>
            </w:r>
            <w:r w:rsidRPr="009C147A">
              <w:rPr>
                <w:sz w:val="16"/>
                <w:szCs w:val="16"/>
              </w:rPr>
              <w:br/>
              <w:t>Aufwand</w:t>
            </w:r>
            <w:r w:rsidRPr="009C147A">
              <w:rPr>
                <w:sz w:val="16"/>
                <w:szCs w:val="16"/>
              </w:rPr>
              <w:br/>
              <w:t>Euro</w:t>
            </w:r>
          </w:p>
        </w:tc>
      </w:tr>
      <w:tr w:rsidR="009C147A" w:rsidRPr="009C147A" w14:paraId="7D008B5C" w14:textId="77777777" w:rsidTr="00160023">
        <w:trPr>
          <w:trHeight w:val="1033"/>
        </w:trPr>
        <w:tc>
          <w:tcPr>
            <w:tcW w:w="1814" w:type="dxa"/>
          </w:tcPr>
          <w:p w14:paraId="447BA35D" w14:textId="77777777" w:rsidR="005F5B3D" w:rsidRPr="009C147A" w:rsidRDefault="005F5B3D" w:rsidP="006E0575">
            <w:pPr>
              <w:rPr>
                <w:sz w:val="20"/>
              </w:rPr>
            </w:pPr>
          </w:p>
          <w:p w14:paraId="5636F349" w14:textId="07DA1FD1" w:rsidR="005F5B3D" w:rsidRPr="009C147A" w:rsidRDefault="00160023" w:rsidP="00687B35">
            <w:pPr>
              <w:rPr>
                <w:sz w:val="20"/>
              </w:rPr>
            </w:pPr>
            <w:r w:rsidRPr="009C147A">
              <w:rPr>
                <w:sz w:val="20"/>
              </w:rPr>
              <w:t>32</w:t>
            </w:r>
            <w:r w:rsidR="00F15315" w:rsidRPr="009C147A">
              <w:rPr>
                <w:sz w:val="20"/>
              </w:rPr>
              <w:t>-22.1</w:t>
            </w:r>
          </w:p>
          <w:p w14:paraId="152022D2" w14:textId="77777777" w:rsidR="00160023" w:rsidRPr="009C147A" w:rsidRDefault="00160023" w:rsidP="00687B35">
            <w:pPr>
              <w:rPr>
                <w:sz w:val="20"/>
              </w:rPr>
            </w:pPr>
          </w:p>
          <w:p w14:paraId="0CE489F7" w14:textId="1E2EEBC5" w:rsidR="00160023" w:rsidRPr="009C147A" w:rsidRDefault="00160023" w:rsidP="00687B35">
            <w:pPr>
              <w:rPr>
                <w:sz w:val="20"/>
              </w:rPr>
            </w:pPr>
            <w:r w:rsidRPr="009C147A">
              <w:rPr>
                <w:sz w:val="20"/>
              </w:rPr>
              <w:t>3222</w:t>
            </w:r>
            <w:r w:rsidR="009C147A" w:rsidRPr="009C147A">
              <w:rPr>
                <w:sz w:val="20"/>
              </w:rPr>
              <w:t xml:space="preserve"> </w:t>
            </w:r>
            <w:r w:rsidRPr="009C147A">
              <w:rPr>
                <w:sz w:val="20"/>
              </w:rPr>
              <w:t>5221</w:t>
            </w:r>
          </w:p>
          <w:p w14:paraId="25D941D5" w14:textId="77777777" w:rsidR="00160023" w:rsidRDefault="00160023" w:rsidP="00A40F6E">
            <w:pPr>
              <w:rPr>
                <w:sz w:val="20"/>
              </w:rPr>
            </w:pPr>
          </w:p>
          <w:p w14:paraId="6CA671A4" w14:textId="77777777" w:rsidR="00A40F6E" w:rsidRPr="009C147A" w:rsidRDefault="00A40F6E" w:rsidP="00A40F6E">
            <w:pPr>
              <w:rPr>
                <w:sz w:val="20"/>
              </w:rPr>
            </w:pPr>
          </w:p>
        </w:tc>
        <w:tc>
          <w:tcPr>
            <w:tcW w:w="1701" w:type="dxa"/>
          </w:tcPr>
          <w:p w14:paraId="486283C8" w14:textId="77777777" w:rsidR="005F5B3D" w:rsidRPr="009C147A" w:rsidRDefault="005F5B3D" w:rsidP="006E0575">
            <w:pPr>
              <w:rPr>
                <w:sz w:val="20"/>
              </w:rPr>
            </w:pPr>
          </w:p>
          <w:p w14:paraId="06667C62" w14:textId="77777777" w:rsidR="005F5B3D" w:rsidRPr="009C147A" w:rsidRDefault="003B54A8" w:rsidP="00160023">
            <w:pPr>
              <w:rPr>
                <w:sz w:val="20"/>
              </w:rPr>
            </w:pPr>
            <w:r w:rsidRPr="009C147A">
              <w:rPr>
                <w:sz w:val="20"/>
              </w:rPr>
              <w:t xml:space="preserve">Amt für öffentliche Ordnung </w:t>
            </w:r>
          </w:p>
        </w:tc>
        <w:tc>
          <w:tcPr>
            <w:tcW w:w="794" w:type="dxa"/>
          </w:tcPr>
          <w:p w14:paraId="24BE5E38" w14:textId="77777777" w:rsidR="005F5B3D" w:rsidRPr="009C147A" w:rsidRDefault="005F5B3D" w:rsidP="001F7237">
            <w:pPr>
              <w:jc w:val="center"/>
              <w:rPr>
                <w:sz w:val="20"/>
              </w:rPr>
            </w:pPr>
          </w:p>
          <w:p w14:paraId="36316109" w14:textId="1B82F933" w:rsidR="005F5B3D" w:rsidRPr="009C147A" w:rsidRDefault="003B54A8" w:rsidP="00C70866">
            <w:pPr>
              <w:jc w:val="center"/>
              <w:rPr>
                <w:sz w:val="20"/>
              </w:rPr>
            </w:pPr>
            <w:r w:rsidRPr="009C147A">
              <w:rPr>
                <w:sz w:val="20"/>
              </w:rPr>
              <w:t xml:space="preserve">A 9 </w:t>
            </w:r>
            <w:r w:rsidR="0068167E" w:rsidRPr="009C147A">
              <w:rPr>
                <w:sz w:val="20"/>
              </w:rPr>
              <w:t xml:space="preserve"> </w:t>
            </w:r>
            <w:r w:rsidR="00C70866" w:rsidRPr="009C147A">
              <w:rPr>
                <w:sz w:val="20"/>
              </w:rPr>
              <w:t>m</w:t>
            </w:r>
            <w:r w:rsidRPr="009C147A">
              <w:rPr>
                <w:sz w:val="20"/>
              </w:rPr>
              <w:t>D</w:t>
            </w:r>
          </w:p>
        </w:tc>
        <w:tc>
          <w:tcPr>
            <w:tcW w:w="1928" w:type="dxa"/>
          </w:tcPr>
          <w:p w14:paraId="1F64762E" w14:textId="77777777" w:rsidR="005F5B3D" w:rsidRPr="009C147A" w:rsidRDefault="005F5B3D" w:rsidP="006E0575">
            <w:pPr>
              <w:rPr>
                <w:sz w:val="20"/>
              </w:rPr>
            </w:pPr>
          </w:p>
          <w:p w14:paraId="6C16895E" w14:textId="0A155EA6" w:rsidR="005F5B3D" w:rsidRPr="009C147A" w:rsidRDefault="003B54A8" w:rsidP="006E0575">
            <w:pPr>
              <w:rPr>
                <w:sz w:val="20"/>
              </w:rPr>
            </w:pPr>
            <w:r w:rsidRPr="009C147A">
              <w:rPr>
                <w:sz w:val="20"/>
              </w:rPr>
              <w:t>Sachbearbeiter</w:t>
            </w:r>
            <w:r w:rsidR="00160023" w:rsidRPr="009C147A">
              <w:rPr>
                <w:sz w:val="20"/>
              </w:rPr>
              <w:t>/</w:t>
            </w:r>
            <w:r w:rsidR="00F15315" w:rsidRPr="009C147A">
              <w:rPr>
                <w:sz w:val="20"/>
              </w:rPr>
              <w:t>-</w:t>
            </w:r>
            <w:r w:rsidR="00160023" w:rsidRPr="009C147A">
              <w:rPr>
                <w:sz w:val="20"/>
              </w:rPr>
              <w:t xml:space="preserve">in </w:t>
            </w:r>
          </w:p>
        </w:tc>
        <w:tc>
          <w:tcPr>
            <w:tcW w:w="737" w:type="dxa"/>
            <w:shd w:val="pct12" w:color="auto" w:fill="FFFFFF"/>
          </w:tcPr>
          <w:p w14:paraId="37A0C001" w14:textId="77777777" w:rsidR="005F5B3D" w:rsidRPr="009C147A" w:rsidRDefault="005F5B3D" w:rsidP="001F7237">
            <w:pPr>
              <w:jc w:val="center"/>
              <w:rPr>
                <w:sz w:val="20"/>
              </w:rPr>
            </w:pPr>
          </w:p>
          <w:p w14:paraId="2CF2ACB9" w14:textId="6A3222ED" w:rsidR="005F5B3D" w:rsidRPr="009C147A" w:rsidRDefault="00FE55B6" w:rsidP="001F7237">
            <w:pPr>
              <w:jc w:val="center"/>
              <w:rPr>
                <w:sz w:val="20"/>
              </w:rPr>
            </w:pPr>
            <w:r w:rsidRPr="009C147A">
              <w:rPr>
                <w:sz w:val="20"/>
              </w:rPr>
              <w:t>0</w:t>
            </w:r>
            <w:r w:rsidR="00C16144" w:rsidRPr="009C147A">
              <w:rPr>
                <w:sz w:val="20"/>
              </w:rPr>
              <w:t>,5</w:t>
            </w:r>
            <w:r w:rsidR="004824A6" w:rsidRPr="009C147A">
              <w:rPr>
                <w:sz w:val="20"/>
              </w:rPr>
              <w:t>0</w:t>
            </w:r>
          </w:p>
        </w:tc>
        <w:tc>
          <w:tcPr>
            <w:tcW w:w="1134" w:type="dxa"/>
          </w:tcPr>
          <w:p w14:paraId="74D8FE2F" w14:textId="77777777" w:rsidR="005F5B3D" w:rsidRPr="009C147A" w:rsidRDefault="005F5B3D" w:rsidP="001F7237">
            <w:pPr>
              <w:jc w:val="center"/>
              <w:rPr>
                <w:sz w:val="20"/>
              </w:rPr>
            </w:pPr>
          </w:p>
          <w:p w14:paraId="439C4E21" w14:textId="111EFF79" w:rsidR="005F5B3D" w:rsidRPr="009C147A" w:rsidRDefault="00FE55B6" w:rsidP="001F7237">
            <w:pPr>
              <w:jc w:val="center"/>
              <w:rPr>
                <w:sz w:val="20"/>
              </w:rPr>
            </w:pPr>
            <w:r w:rsidRPr="009C147A">
              <w:rPr>
                <w:sz w:val="20"/>
              </w:rPr>
              <w:t>---</w:t>
            </w:r>
          </w:p>
        </w:tc>
        <w:tc>
          <w:tcPr>
            <w:tcW w:w="1417" w:type="dxa"/>
          </w:tcPr>
          <w:p w14:paraId="5E6E27F8" w14:textId="77777777" w:rsidR="005F5B3D" w:rsidRPr="009C147A" w:rsidRDefault="005F5B3D" w:rsidP="001F7237">
            <w:pPr>
              <w:jc w:val="center"/>
              <w:rPr>
                <w:sz w:val="20"/>
              </w:rPr>
            </w:pPr>
          </w:p>
          <w:p w14:paraId="43004915" w14:textId="638F9BB4" w:rsidR="005F5B3D" w:rsidRPr="009C147A" w:rsidRDefault="00927AAF" w:rsidP="00687B35">
            <w:pPr>
              <w:jc w:val="center"/>
              <w:rPr>
                <w:sz w:val="20"/>
              </w:rPr>
            </w:pPr>
            <w:r>
              <w:rPr>
                <w:sz w:val="20"/>
              </w:rPr>
              <w:t>41.750</w:t>
            </w:r>
          </w:p>
        </w:tc>
      </w:tr>
    </w:tbl>
    <w:p w14:paraId="18EF355F" w14:textId="77777777" w:rsidR="007F02D5" w:rsidRPr="009C147A" w:rsidRDefault="007F02D5" w:rsidP="007F02D5">
      <w:pPr>
        <w:pStyle w:val="berschrift1"/>
      </w:pPr>
      <w:r w:rsidRPr="009C147A">
        <w:t>1</w:t>
      </w:r>
      <w:r w:rsidRPr="009C147A">
        <w:tab/>
        <w:t>Antra</w:t>
      </w:r>
      <w:r w:rsidR="0022396C" w:rsidRPr="009C147A">
        <w:t>g</w:t>
      </w:r>
    </w:p>
    <w:p w14:paraId="2BDF352F" w14:textId="77777777" w:rsidR="007F02D5" w:rsidRPr="009C147A" w:rsidRDefault="007F02D5" w:rsidP="007F02D5"/>
    <w:p w14:paraId="2D082457" w14:textId="04929C8C" w:rsidR="007F02D5" w:rsidRPr="009C147A" w:rsidRDefault="00F071F7" w:rsidP="007F02D5">
      <w:r w:rsidRPr="009C147A">
        <w:t>Geschaffen wird eine</w:t>
      </w:r>
      <w:r w:rsidR="007F02D5" w:rsidRPr="009C147A">
        <w:t xml:space="preserve"> </w:t>
      </w:r>
      <w:r w:rsidR="001565F8" w:rsidRPr="009C147A">
        <w:t>0,50</w:t>
      </w:r>
      <w:r w:rsidRPr="009C147A">
        <w:t>-</w:t>
      </w:r>
      <w:r w:rsidR="007F02D5" w:rsidRPr="009C147A">
        <w:t xml:space="preserve">Stelle der Besoldungsgruppe A 9 </w:t>
      </w:r>
      <w:r w:rsidR="005167F8" w:rsidRPr="009C147A">
        <w:t>m</w:t>
      </w:r>
      <w:r w:rsidR="00995F32" w:rsidRPr="009C147A">
        <w:t xml:space="preserve">D </w:t>
      </w:r>
      <w:r w:rsidR="00E8509A" w:rsidRPr="009C147A">
        <w:t xml:space="preserve">bei der Dienststelle </w:t>
      </w:r>
      <w:r w:rsidR="007F02D5" w:rsidRPr="009C147A">
        <w:t>Gewerbe</w:t>
      </w:r>
      <w:r w:rsidR="00E8509A" w:rsidRPr="009C147A">
        <w:t>- und Gaststättenrecht</w:t>
      </w:r>
      <w:r w:rsidR="00FB135D" w:rsidRPr="009C147A">
        <w:t xml:space="preserve"> des Amt</w:t>
      </w:r>
      <w:r w:rsidR="007F02D5" w:rsidRPr="009C147A">
        <w:t xml:space="preserve">s für öffentliche Ordnung für den Aufgabenbereich </w:t>
      </w:r>
      <w:r w:rsidR="00C04B70" w:rsidRPr="009C147A">
        <w:t xml:space="preserve">der </w:t>
      </w:r>
      <w:r w:rsidR="005167F8" w:rsidRPr="009C147A">
        <w:t xml:space="preserve">Einheitssachbearbeitung </w:t>
      </w:r>
      <w:r w:rsidR="00F15315" w:rsidRPr="009C147A">
        <w:t xml:space="preserve">(EHSB) </w:t>
      </w:r>
      <w:r w:rsidR="00687B35" w:rsidRPr="009C147A">
        <w:t xml:space="preserve">sowohl </w:t>
      </w:r>
      <w:r w:rsidR="00C04B70" w:rsidRPr="009C147A">
        <w:t xml:space="preserve">für Gewerbe- </w:t>
      </w:r>
      <w:r w:rsidR="00687B35" w:rsidRPr="009C147A">
        <w:t xml:space="preserve">als auch für </w:t>
      </w:r>
      <w:r w:rsidR="00C04B70" w:rsidRPr="009C147A">
        <w:t>Gaststättenangelegenheiten</w:t>
      </w:r>
      <w:r w:rsidR="007F02D5" w:rsidRPr="009C147A">
        <w:t>.</w:t>
      </w:r>
    </w:p>
    <w:p w14:paraId="2C66F666" w14:textId="77777777" w:rsidR="007F02D5" w:rsidRPr="009C147A" w:rsidRDefault="007F02D5" w:rsidP="007F02D5">
      <w:pPr>
        <w:pStyle w:val="berschrift1"/>
      </w:pPr>
      <w:r w:rsidRPr="009C147A">
        <w:t>2</w:t>
      </w:r>
      <w:r w:rsidRPr="009C147A">
        <w:tab/>
        <w:t>Schaffun</w:t>
      </w:r>
      <w:r w:rsidRPr="009C147A">
        <w:rPr>
          <w:u w:val="none"/>
        </w:rPr>
        <w:t>g</w:t>
      </w:r>
      <w:r w:rsidRPr="009C147A">
        <w:t>skriterien</w:t>
      </w:r>
    </w:p>
    <w:p w14:paraId="050763E6" w14:textId="77777777" w:rsidR="007F02D5" w:rsidRPr="009C147A" w:rsidRDefault="007F02D5" w:rsidP="007F02D5"/>
    <w:p w14:paraId="200F78A1" w14:textId="60962AE5" w:rsidR="00E8509A" w:rsidRPr="009C147A" w:rsidRDefault="001362FA" w:rsidP="00FE55B6">
      <w:r w:rsidRPr="009C147A">
        <w:t xml:space="preserve">Eine erhebliche </w:t>
      </w:r>
      <w:r w:rsidR="00655039" w:rsidRPr="009C147A">
        <w:t>Arbeitsvermehrung</w:t>
      </w:r>
      <w:r w:rsidRPr="009C147A">
        <w:t>, die durch andere Maßnahmen nicht mehr</w:t>
      </w:r>
      <w:r w:rsidR="00F15315" w:rsidRPr="009C147A">
        <w:t xml:space="preserve"> </w:t>
      </w:r>
      <w:r w:rsidRPr="009C147A">
        <w:t>abgefangen werden kann,</w:t>
      </w:r>
      <w:r w:rsidR="00655039" w:rsidRPr="009C147A">
        <w:t xml:space="preserve"> </w:t>
      </w:r>
      <w:r w:rsidR="00A23ECE" w:rsidRPr="009C147A">
        <w:t>wurde für eine 0,50-Stelle nachgewiesen</w:t>
      </w:r>
      <w:r w:rsidR="00655039" w:rsidRPr="009C147A">
        <w:t>.</w:t>
      </w:r>
    </w:p>
    <w:p w14:paraId="0DD9F3C7" w14:textId="77777777" w:rsidR="007F02D5" w:rsidRPr="009C147A" w:rsidRDefault="007F02D5" w:rsidP="007F02D5">
      <w:pPr>
        <w:pStyle w:val="berschrift1"/>
      </w:pPr>
      <w:r w:rsidRPr="009C147A">
        <w:t>3</w:t>
      </w:r>
      <w:r w:rsidRPr="009C147A">
        <w:tab/>
        <w:t>Bedarf</w:t>
      </w:r>
    </w:p>
    <w:p w14:paraId="7D69E019" w14:textId="77777777" w:rsidR="007F02D5" w:rsidRPr="009C147A" w:rsidRDefault="007F02D5" w:rsidP="007F02D5">
      <w:pPr>
        <w:pStyle w:val="berschrift2"/>
      </w:pPr>
      <w:r w:rsidRPr="009C147A">
        <w:t>3.1</w:t>
      </w:r>
      <w:r w:rsidRPr="009C147A">
        <w:tab/>
        <w:t>Anlass</w:t>
      </w:r>
    </w:p>
    <w:p w14:paraId="2DA32F78" w14:textId="77777777" w:rsidR="00A23ECE" w:rsidRPr="009C147A" w:rsidRDefault="00A23ECE" w:rsidP="00A23ECE"/>
    <w:p w14:paraId="1D175B87" w14:textId="2C134E2F" w:rsidR="006C3558" w:rsidRPr="009C147A" w:rsidRDefault="006C3558" w:rsidP="007F02D5">
      <w:pPr>
        <w:rPr>
          <w:b/>
        </w:rPr>
      </w:pPr>
      <w:r w:rsidRPr="009C147A">
        <w:rPr>
          <w:b/>
        </w:rPr>
        <w:t>Gewerbe</w:t>
      </w:r>
      <w:r w:rsidR="009B603D" w:rsidRPr="009C147A">
        <w:rPr>
          <w:b/>
        </w:rPr>
        <w:t>angelegenheiten</w:t>
      </w:r>
    </w:p>
    <w:p w14:paraId="241EFA39" w14:textId="77777777" w:rsidR="00B976B3" w:rsidRPr="009C147A" w:rsidRDefault="00B976B3" w:rsidP="007F02D5">
      <w:pPr>
        <w:rPr>
          <w:b/>
        </w:rPr>
      </w:pPr>
    </w:p>
    <w:p w14:paraId="06D41AA0" w14:textId="631C83EF" w:rsidR="00165CE2" w:rsidRPr="009C147A" w:rsidRDefault="00165CE2" w:rsidP="00655039">
      <w:pPr>
        <w:tabs>
          <w:tab w:val="left" w:pos="567"/>
          <w:tab w:val="left" w:pos="1985"/>
          <w:tab w:val="left" w:pos="4536"/>
          <w:tab w:val="right" w:pos="8505"/>
        </w:tabs>
      </w:pPr>
      <w:r w:rsidRPr="009C147A">
        <w:t xml:space="preserve">Die Zahl der </w:t>
      </w:r>
      <w:r w:rsidR="009B5FA1" w:rsidRPr="009C147A">
        <w:t xml:space="preserve">Gewerbeuntersagungsverfahren (aufgrund von Rückständen bei öffentlichen Gläubigern) bei den EHSB </w:t>
      </w:r>
      <w:r w:rsidRPr="009C147A">
        <w:t xml:space="preserve">ist im Durchschnitt der Jahre 2015 – 2019 im Vergleich zum Jahr 2014 </w:t>
      </w:r>
      <w:r w:rsidR="00F85B44" w:rsidRPr="009C147A">
        <w:t xml:space="preserve">von 50 Fällen </w:t>
      </w:r>
      <w:r w:rsidRPr="009C147A">
        <w:t>um rund 30</w:t>
      </w:r>
      <w:r w:rsidR="00F15315" w:rsidRPr="009C147A">
        <w:t xml:space="preserve"> </w:t>
      </w:r>
      <w:r w:rsidRPr="009C147A">
        <w:t xml:space="preserve">% </w:t>
      </w:r>
      <w:r w:rsidR="00F85B44" w:rsidRPr="009C147A">
        <w:t xml:space="preserve">auf durchschnittlich 66 Fälle </w:t>
      </w:r>
      <w:r w:rsidRPr="009C147A">
        <w:t xml:space="preserve">gestiegen. </w:t>
      </w:r>
      <w:r w:rsidR="009B603D" w:rsidRPr="009C147A">
        <w:t>Zur Aufarbeitung der bestehenden</w:t>
      </w:r>
      <w:r w:rsidRPr="009C147A">
        <w:t xml:space="preserve"> Rückstände</w:t>
      </w:r>
      <w:r w:rsidR="009B603D" w:rsidRPr="009C147A">
        <w:t xml:space="preserve"> wurde </w:t>
      </w:r>
      <w:r w:rsidRPr="009C147A">
        <w:t xml:space="preserve">zum Stellenplan 2018 eine 0,5-Stelle </w:t>
      </w:r>
      <w:r w:rsidR="009B5FA1" w:rsidRPr="009C147A">
        <w:t xml:space="preserve">mit KW-Vermerk </w:t>
      </w:r>
      <w:r w:rsidR="009C147A" w:rsidRPr="009C147A">
        <w:t>geschaffen</w:t>
      </w:r>
      <w:r w:rsidR="00F15315" w:rsidRPr="009C147A">
        <w:rPr>
          <w:i/>
        </w:rPr>
        <w:t>.</w:t>
      </w:r>
      <w:r w:rsidRPr="009C147A">
        <w:t xml:space="preserve"> </w:t>
      </w:r>
    </w:p>
    <w:p w14:paraId="357CCD17" w14:textId="77777777" w:rsidR="00613D99" w:rsidRPr="009C147A" w:rsidRDefault="00613D99" w:rsidP="006C3558"/>
    <w:p w14:paraId="22C500B3" w14:textId="13EE3AD3" w:rsidR="00CC6B47" w:rsidRPr="009C147A" w:rsidRDefault="00CC6B47" w:rsidP="006C3558">
      <w:r w:rsidRPr="009C147A">
        <w:t xml:space="preserve">Die erlaubnispflichtige Tätigkeit der Bewacher und Makler kann seit Jahren nur in wenigen, absolut dringenden Ausnahmefällen überwacht werden. </w:t>
      </w:r>
      <w:proofErr w:type="spellStart"/>
      <w:r w:rsidRPr="009C147A">
        <w:t>Ordnungswidrigkeitenanzeigen</w:t>
      </w:r>
      <w:proofErr w:type="spellEnd"/>
      <w:r w:rsidR="009B603D" w:rsidRPr="009C147A">
        <w:t xml:space="preserve"> sowie</w:t>
      </w:r>
      <w:r w:rsidRPr="009C147A">
        <w:t xml:space="preserve"> </w:t>
      </w:r>
      <w:r w:rsidR="009B603D" w:rsidRPr="009C147A">
        <w:t xml:space="preserve">Hinweise und erkennbar ordnungswidriges Verhalten von Bewachern </w:t>
      </w:r>
      <w:r w:rsidRPr="009C147A">
        <w:t>können nicht bearbeitet werden.</w:t>
      </w:r>
      <w:r w:rsidR="009B603D" w:rsidRPr="009C147A">
        <w:t xml:space="preserve"> Es ist bisher auch nicht gelungen, alle </w:t>
      </w:r>
      <w:proofErr w:type="spellStart"/>
      <w:r w:rsidR="009B603D" w:rsidRPr="009C147A">
        <w:t>Bewacherunternehmer</w:t>
      </w:r>
      <w:proofErr w:type="spellEnd"/>
      <w:r w:rsidR="009B603D" w:rsidRPr="009C147A">
        <w:t xml:space="preserve"> und deren Personal zur Registrierung im bundesweit gültigen </w:t>
      </w:r>
      <w:proofErr w:type="spellStart"/>
      <w:r w:rsidR="009B603D" w:rsidRPr="009C147A">
        <w:t>Bewacherregister</w:t>
      </w:r>
      <w:proofErr w:type="spellEnd"/>
      <w:r w:rsidR="009B603D" w:rsidRPr="009C147A">
        <w:t xml:space="preserve"> zu veranlassen. </w:t>
      </w:r>
    </w:p>
    <w:p w14:paraId="31C63049" w14:textId="77777777" w:rsidR="00563A02" w:rsidRPr="009C147A" w:rsidRDefault="00563A02" w:rsidP="009B603D">
      <w:pPr>
        <w:keepNext/>
        <w:rPr>
          <w:b/>
        </w:rPr>
      </w:pPr>
      <w:r w:rsidRPr="009C147A">
        <w:rPr>
          <w:b/>
        </w:rPr>
        <w:lastRenderedPageBreak/>
        <w:t>Gaststättenrecht</w:t>
      </w:r>
    </w:p>
    <w:p w14:paraId="1B37284E" w14:textId="77777777" w:rsidR="008017BB" w:rsidRPr="009C147A" w:rsidRDefault="008017BB" w:rsidP="009B603D">
      <w:pPr>
        <w:keepNext/>
      </w:pPr>
    </w:p>
    <w:p w14:paraId="67F4B6BC" w14:textId="47CC61E0" w:rsidR="00966CE4" w:rsidRPr="009C147A" w:rsidRDefault="00966CE4" w:rsidP="00966CE4">
      <w:r w:rsidRPr="009C147A">
        <w:t>Für Gaststättenangelegenheiten gibt es weitere Stellen in A 8</w:t>
      </w:r>
      <w:r w:rsidR="009C147A" w:rsidRPr="009C147A">
        <w:t>.</w:t>
      </w:r>
    </w:p>
    <w:p w14:paraId="2946035A" w14:textId="77777777" w:rsidR="00966CE4" w:rsidRPr="009C147A" w:rsidRDefault="00966CE4" w:rsidP="00966CE4"/>
    <w:p w14:paraId="547EBEEE" w14:textId="32133C6A" w:rsidR="00966CE4" w:rsidRPr="009C147A" w:rsidRDefault="00CC6B47" w:rsidP="00966CE4">
      <w:r w:rsidRPr="009C147A">
        <w:t>D</w:t>
      </w:r>
      <w:r w:rsidR="00127C0B" w:rsidRPr="009C147A">
        <w:t>ie</w:t>
      </w:r>
      <w:r w:rsidR="00454EDF" w:rsidRPr="009C147A">
        <w:t xml:space="preserve"> </w:t>
      </w:r>
      <w:r w:rsidR="004B49D5" w:rsidRPr="009C147A">
        <w:t>Zahl an Anträgen auf Gestattung eines vorübergehenden Gaststättenbetriebs aus besonderem Anlass, z. B. für Vereinsfeste oder sonstige öffentlichen Veranstaltungen</w:t>
      </w:r>
      <w:r w:rsidR="00127C0B" w:rsidRPr="009C147A">
        <w:t xml:space="preserve">, </w:t>
      </w:r>
    </w:p>
    <w:p w14:paraId="16CCCF56" w14:textId="673E907D" w:rsidR="00980AA4" w:rsidRPr="009C147A" w:rsidRDefault="00966CE4" w:rsidP="007F02D5">
      <w:r w:rsidRPr="009C147A">
        <w:t xml:space="preserve">bei </w:t>
      </w:r>
      <w:r w:rsidR="00D702B1" w:rsidRPr="009C147A">
        <w:t xml:space="preserve">den </w:t>
      </w:r>
      <w:r w:rsidR="009B5FA1" w:rsidRPr="009C147A">
        <w:t>EHSB</w:t>
      </w:r>
      <w:r w:rsidR="00D702B1" w:rsidRPr="009C147A">
        <w:t xml:space="preserve">, </w:t>
      </w:r>
      <w:r w:rsidR="00CC6B47" w:rsidRPr="009C147A">
        <w:t xml:space="preserve">ist </w:t>
      </w:r>
      <w:r w:rsidR="00F407E3" w:rsidRPr="009C147A">
        <w:t xml:space="preserve">zwischen 2015 und 2019 </w:t>
      </w:r>
      <w:r w:rsidR="00CC6B47" w:rsidRPr="009C147A">
        <w:t xml:space="preserve">kontinuierlich </w:t>
      </w:r>
      <w:r w:rsidR="00F407E3" w:rsidRPr="009C147A">
        <w:t>von 496 auf 752 gestiegen.</w:t>
      </w:r>
      <w:r w:rsidR="00C94B2A" w:rsidRPr="009C147A">
        <w:t xml:space="preserve"> </w:t>
      </w:r>
    </w:p>
    <w:p w14:paraId="2F279A11" w14:textId="77777777" w:rsidR="006332D7" w:rsidRPr="009C147A" w:rsidRDefault="006332D7" w:rsidP="007F02D5"/>
    <w:p w14:paraId="7DCA1253" w14:textId="1B7DF2DB" w:rsidR="004B49D5" w:rsidRPr="009C147A" w:rsidRDefault="00454EDF" w:rsidP="007F02D5">
      <w:r w:rsidRPr="009C147A">
        <w:t xml:space="preserve">Mit der Zunahme der </w:t>
      </w:r>
      <w:r w:rsidR="00127C0B" w:rsidRPr="009C147A">
        <w:t xml:space="preserve">gastronomischen Aktivitäten und der wachsenden Bandbreite an Betriebskonzepten </w:t>
      </w:r>
      <w:r w:rsidR="008A0CCC" w:rsidRPr="009C147A">
        <w:t xml:space="preserve">ist </w:t>
      </w:r>
      <w:r w:rsidR="00127C0B" w:rsidRPr="009C147A">
        <w:t xml:space="preserve">auch die Zahl an Bürgerbeschwerden über Lärm, Geruch und andere negative Begleiterscheinungen </w:t>
      </w:r>
      <w:r w:rsidR="00A64FC8" w:rsidRPr="009C147A">
        <w:t>der Gastronomie</w:t>
      </w:r>
      <w:r w:rsidR="00F15315" w:rsidRPr="009C147A">
        <w:t>,</w:t>
      </w:r>
      <w:r w:rsidR="008A0CCC" w:rsidRPr="009C147A">
        <w:t xml:space="preserve"> die von den Einheitssachbearbeitende bearbeitet werden, z</w:t>
      </w:r>
      <w:r w:rsidR="00F407E3" w:rsidRPr="009C147A">
        <w:t xml:space="preserve">wischen 2016 und 2019 </w:t>
      </w:r>
      <w:r w:rsidR="00CC6B47" w:rsidRPr="009C147A">
        <w:t xml:space="preserve">kontinuierlich </w:t>
      </w:r>
      <w:r w:rsidR="00F407E3" w:rsidRPr="009C147A">
        <w:t xml:space="preserve">von 307 auf 437 gestiegen. </w:t>
      </w:r>
    </w:p>
    <w:p w14:paraId="13A9CD19" w14:textId="77777777" w:rsidR="00966CE4" w:rsidRPr="009C147A" w:rsidRDefault="00966CE4" w:rsidP="007F02D5"/>
    <w:p w14:paraId="3F14808D" w14:textId="5AB7B3B9" w:rsidR="00CD13AB" w:rsidRPr="009C147A" w:rsidRDefault="00CD13AB" w:rsidP="007F02D5">
      <w:pPr>
        <w:rPr>
          <w:b/>
        </w:rPr>
      </w:pPr>
      <w:r w:rsidRPr="009C147A">
        <w:rPr>
          <w:b/>
        </w:rPr>
        <w:t>Hinweise für beide Aufgabenbereiche</w:t>
      </w:r>
    </w:p>
    <w:p w14:paraId="0AC4ABBB" w14:textId="77777777" w:rsidR="00CD13AB" w:rsidRPr="009C147A" w:rsidRDefault="00CD13AB" w:rsidP="007F02D5"/>
    <w:p w14:paraId="6413D8F7" w14:textId="47728C9E" w:rsidR="00CD13AB" w:rsidRPr="009C147A" w:rsidRDefault="00CD13AB" w:rsidP="007F02D5">
      <w:r w:rsidRPr="009C147A">
        <w:t>Aufgrund de</w:t>
      </w:r>
      <w:r w:rsidR="00F15315" w:rsidRPr="009C147A">
        <w:t>r</w:t>
      </w:r>
      <w:r w:rsidRPr="009C147A">
        <w:t xml:space="preserve"> Corona</w:t>
      </w:r>
      <w:r w:rsidR="00F15315" w:rsidRPr="009C147A">
        <w:t>-Pandemie</w:t>
      </w:r>
      <w:r w:rsidRPr="009C147A">
        <w:t xml:space="preserve"> sind</w:t>
      </w:r>
      <w:r w:rsidR="009C147A" w:rsidRPr="009C147A">
        <w:t xml:space="preserve"> die rückläufigen Fallzahlen </w:t>
      </w:r>
      <w:r w:rsidRPr="009C147A">
        <w:t xml:space="preserve">2020 in beiden Aufgabenbereichen nicht repräsentativ. Daher </w:t>
      </w:r>
      <w:r w:rsidR="00F15315" w:rsidRPr="009C147A">
        <w:t xml:space="preserve">wurde </w:t>
      </w:r>
      <w:r w:rsidRPr="009C147A">
        <w:t xml:space="preserve">jeweils der Zeitraum bis 2019 betrachtet. Dafür sind aktuell andererseits umfangreiche Anträge auf coronabedingte Erweiterungen in der Außengastronomie sowie Anfragen zur Corona-Verordnung zu bearbeiten. </w:t>
      </w:r>
    </w:p>
    <w:p w14:paraId="6CFB37E1" w14:textId="77777777" w:rsidR="002E346C" w:rsidRPr="009C147A" w:rsidRDefault="002E346C" w:rsidP="00E02E0D"/>
    <w:p w14:paraId="7C9B9B2F" w14:textId="77777777" w:rsidR="007F02D5" w:rsidRPr="009C147A" w:rsidRDefault="007F02D5" w:rsidP="00413F4E">
      <w:pPr>
        <w:pStyle w:val="berschrift2"/>
        <w:spacing w:before="0"/>
      </w:pPr>
      <w:r w:rsidRPr="009C147A">
        <w:t>3.2</w:t>
      </w:r>
      <w:r w:rsidRPr="009C147A">
        <w:tab/>
        <w:t>Bisherige Aufgabenwahrnehmung</w:t>
      </w:r>
    </w:p>
    <w:p w14:paraId="789D625E" w14:textId="77777777" w:rsidR="00486CA1" w:rsidRPr="009C147A" w:rsidRDefault="00486CA1" w:rsidP="007F02D5"/>
    <w:p w14:paraId="62C6245E" w14:textId="54D89759" w:rsidR="00BA35A1" w:rsidRPr="009C147A" w:rsidRDefault="00C16144" w:rsidP="00BA35A1">
      <w:r w:rsidRPr="009C147A">
        <w:t>Die Erledigung des Aufgabenanfalls konnte in den letzten Jahren nur durch eine schleichende Aufgabenverschiebung zu Lasten des gewerberechtlichen Teils kompensiert werden. Der Aufgabenbereich „Gewerbeuntersagung (aufgrund von Rückständen bei öffentlichen Gläubigern)“ und „Gewerbeüberwachung“ kann aktuell von den EHSB damit praktisch nicht wahrgenommen werden.</w:t>
      </w:r>
      <w:r w:rsidR="00BA35A1" w:rsidRPr="009C147A">
        <w:t xml:space="preserve"> </w:t>
      </w:r>
    </w:p>
    <w:p w14:paraId="78B765C1" w14:textId="77777777" w:rsidR="007F02D5" w:rsidRPr="009C147A" w:rsidRDefault="009607B3" w:rsidP="007F02D5">
      <w:pPr>
        <w:pStyle w:val="berschrift2"/>
      </w:pPr>
      <w:r w:rsidRPr="009C147A">
        <w:t>3.</w:t>
      </w:r>
      <w:r w:rsidR="007F02D5" w:rsidRPr="009C147A">
        <w:t>3</w:t>
      </w:r>
      <w:r w:rsidR="007F02D5" w:rsidRPr="009C147A">
        <w:tab/>
        <w:t>Auswirkungen bei Ablehnung der Stellenschaffungen</w:t>
      </w:r>
    </w:p>
    <w:p w14:paraId="6000A730" w14:textId="77777777" w:rsidR="00E8509A" w:rsidRPr="009C147A" w:rsidRDefault="00E8509A" w:rsidP="003A3D02"/>
    <w:p w14:paraId="3F9C6514" w14:textId="5E0F3228" w:rsidR="00C16144" w:rsidRPr="009C147A" w:rsidRDefault="00A40F6E" w:rsidP="007F02D5">
      <w:r>
        <w:t>Bei Ablehnung der Stelle</w:t>
      </w:r>
      <w:bookmarkStart w:id="0" w:name="_GoBack"/>
      <w:bookmarkEnd w:id="0"/>
      <w:r w:rsidR="00CC6B47" w:rsidRPr="009C147A">
        <w:t xml:space="preserve"> </w:t>
      </w:r>
      <w:r w:rsidR="00900667" w:rsidRPr="009C147A">
        <w:t xml:space="preserve">bestehen </w:t>
      </w:r>
      <w:r w:rsidR="00CC6B47" w:rsidRPr="009C147A">
        <w:t>die</w:t>
      </w:r>
      <w:r w:rsidR="00011B4B" w:rsidRPr="009C147A">
        <w:t xml:space="preserve"> beschriebenen </w:t>
      </w:r>
      <w:r w:rsidR="003A3D02" w:rsidRPr="009C147A">
        <w:t>Defizit</w:t>
      </w:r>
      <w:r w:rsidR="00011B4B" w:rsidRPr="009C147A">
        <w:t xml:space="preserve">e </w:t>
      </w:r>
      <w:r w:rsidR="00900667" w:rsidRPr="009C147A">
        <w:t>fort und</w:t>
      </w:r>
      <w:r w:rsidR="003A3D02" w:rsidRPr="009C147A">
        <w:t xml:space="preserve"> unzuverlässige Gewerbetreibende </w:t>
      </w:r>
      <w:r w:rsidR="00F15315" w:rsidRPr="009C147A">
        <w:t xml:space="preserve">könnten </w:t>
      </w:r>
      <w:r w:rsidR="003A3D02" w:rsidRPr="009C147A">
        <w:t xml:space="preserve">ihr rechtswidriges Treiben weiterführen und dabei </w:t>
      </w:r>
      <w:r w:rsidR="00D5525A" w:rsidRPr="009C147A">
        <w:t>V</w:t>
      </w:r>
      <w:r w:rsidR="003A3D02" w:rsidRPr="009C147A">
        <w:t>erbrauchern auch körperlic</w:t>
      </w:r>
      <w:r w:rsidR="00900667" w:rsidRPr="009C147A">
        <w:t>hen Schaden zufügen. Zudem entsteht</w:t>
      </w:r>
      <w:r w:rsidR="003A3D02" w:rsidRPr="009C147A">
        <w:t xml:space="preserve"> eine Wettbewerbsverzerrung und </w:t>
      </w:r>
      <w:r w:rsidR="00900667" w:rsidRPr="009C147A">
        <w:t xml:space="preserve">damit </w:t>
      </w:r>
      <w:r w:rsidR="003A3D02" w:rsidRPr="009C147A">
        <w:t>eine Schädigung der sich ordnungsgemäß verhaltenden Gewerbetreibenden.</w:t>
      </w:r>
      <w:r w:rsidR="00BA35A1" w:rsidRPr="009C147A">
        <w:t xml:space="preserve"> </w:t>
      </w:r>
      <w:r w:rsidR="00EA48A7" w:rsidRPr="009C147A">
        <w:t xml:space="preserve">Nimmt die Landeshauptstadt die gesetzliche Pflichtaufgabe der Gewerbeüberwachung von Sonderbereichen nicht wahr, kann dies unkalkulierbare Haftungsrisiken wegen möglicher Schäden für Leib und Leben zur Folge haben. </w:t>
      </w:r>
      <w:r w:rsidR="00900667" w:rsidRPr="009C147A">
        <w:t>Für die öffentlichen Gläubiger können</w:t>
      </w:r>
      <w:r w:rsidR="00566C63" w:rsidRPr="009C147A">
        <w:t xml:space="preserve"> durch das Nichthandeln der </w:t>
      </w:r>
      <w:r w:rsidR="00900667" w:rsidRPr="009C147A">
        <w:t>S</w:t>
      </w:r>
      <w:r w:rsidR="001B1635" w:rsidRPr="009C147A">
        <w:t>tadt</w:t>
      </w:r>
      <w:r w:rsidR="00566C63" w:rsidRPr="009C147A">
        <w:t xml:space="preserve"> hohe </w:t>
      </w:r>
      <w:r w:rsidR="00204E11" w:rsidRPr="009C147A">
        <w:t xml:space="preserve">finanzielle </w:t>
      </w:r>
      <w:r w:rsidR="00566C63" w:rsidRPr="009C147A">
        <w:t xml:space="preserve">Schäden entstehen. </w:t>
      </w:r>
    </w:p>
    <w:p w14:paraId="2411E451" w14:textId="77777777" w:rsidR="00D702B1" w:rsidRPr="009C147A" w:rsidRDefault="00D702B1" w:rsidP="007F02D5"/>
    <w:p w14:paraId="5FC287EA" w14:textId="08FD581E" w:rsidR="00A83D15" w:rsidRPr="009C147A" w:rsidRDefault="001B1635" w:rsidP="007F02D5">
      <w:r w:rsidRPr="009C147A">
        <w:t xml:space="preserve">Für den Gaststättenbereich ist ebenfalls auf die Haftungsrisiken hinzuweisen, wenn ein Verwaltungsverfahren nicht oder nur mit </w:t>
      </w:r>
      <w:r w:rsidR="00075445" w:rsidRPr="009C147A">
        <w:t>erheblicher</w:t>
      </w:r>
      <w:r w:rsidRPr="009C147A">
        <w:t xml:space="preserve"> Verzögerung eingeleitet wird. </w:t>
      </w:r>
      <w:r w:rsidR="00EA48A7" w:rsidRPr="009C147A">
        <w:t>Auch hier</w:t>
      </w:r>
      <w:r w:rsidRPr="009C147A">
        <w:t xml:space="preserve"> kann eine Gefahr für Leib und Leben der Gäste </w:t>
      </w:r>
      <w:r w:rsidR="00D5525A" w:rsidRPr="009C147A">
        <w:t xml:space="preserve">und Anwohner </w:t>
      </w:r>
      <w:r w:rsidR="00900667" w:rsidRPr="009C147A">
        <w:t>entstehen</w:t>
      </w:r>
      <w:r w:rsidRPr="009C147A">
        <w:t xml:space="preserve"> (Fluchtwege, Betriebsartänderungen</w:t>
      </w:r>
      <w:r w:rsidR="00D5525A" w:rsidRPr="009C147A">
        <w:t>, Lärm</w:t>
      </w:r>
      <w:r w:rsidRPr="009C147A">
        <w:t xml:space="preserve">). </w:t>
      </w:r>
      <w:r w:rsidR="005B4241" w:rsidRPr="009C147A">
        <w:t>Zudem birgt eine verspätete Bearbeitung von Anträgen ein erhebliches Risiko an Schadensersatzforderungen gegen die Stadt.</w:t>
      </w:r>
    </w:p>
    <w:p w14:paraId="644D8247" w14:textId="77777777" w:rsidR="008B6361" w:rsidRPr="009C147A" w:rsidRDefault="00264500" w:rsidP="008B6361">
      <w:pPr>
        <w:pStyle w:val="berschrift1"/>
      </w:pPr>
      <w:r w:rsidRPr="009C147A">
        <w:t>4</w:t>
      </w:r>
      <w:r w:rsidR="007F02D5" w:rsidRPr="009C147A">
        <w:tab/>
        <w:t>Stellenvermerke</w:t>
      </w:r>
    </w:p>
    <w:p w14:paraId="0C8BD263" w14:textId="77777777" w:rsidR="00EA583F" w:rsidRPr="009C147A" w:rsidRDefault="007F02D5" w:rsidP="005E16BF">
      <w:r w:rsidRPr="009C147A">
        <w:t>Keine</w:t>
      </w:r>
    </w:p>
    <w:sectPr w:rsidR="00EA583F" w:rsidRPr="009C147A" w:rsidSect="00486CA1">
      <w:headerReference w:type="default" r:id="rId8"/>
      <w:pgSz w:w="11907" w:h="16840" w:code="9"/>
      <w:pgMar w:top="1418" w:right="1134" w:bottom="1418" w:left="1418"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02A0" w14:textId="77777777" w:rsidR="00685787" w:rsidRDefault="00685787">
      <w:r>
        <w:separator/>
      </w:r>
    </w:p>
  </w:endnote>
  <w:endnote w:type="continuationSeparator" w:id="0">
    <w:p w14:paraId="191B6676" w14:textId="77777777" w:rsidR="00685787" w:rsidRDefault="0068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5E3E" w14:textId="77777777" w:rsidR="00685787" w:rsidRDefault="00685787">
      <w:r>
        <w:separator/>
      </w:r>
    </w:p>
  </w:footnote>
  <w:footnote w:type="continuationSeparator" w:id="0">
    <w:p w14:paraId="46BB866E" w14:textId="77777777" w:rsidR="00685787" w:rsidRDefault="0068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5E3B" w14:textId="22AC8C09" w:rsidR="0085633D" w:rsidRDefault="0085633D">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40F6E">
      <w:rPr>
        <w:rStyle w:val="Seitenzahl"/>
        <w:noProof/>
      </w:rPr>
      <w:t>2</w:t>
    </w:r>
    <w:r>
      <w:rPr>
        <w:rStyle w:val="Seitenzahl"/>
      </w:rPr>
      <w:fldChar w:fldCharType="end"/>
    </w:r>
    <w:r>
      <w:rPr>
        <w:rStyle w:val="Seitenzahl"/>
      </w:rPr>
      <w:t xml:space="preserve"> -</w:t>
    </w:r>
  </w:p>
  <w:p w14:paraId="4DF2FB9D" w14:textId="77777777" w:rsidR="0085633D" w:rsidRDefault="0085633D" w:rsidP="00486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F7659"/>
    <w:multiLevelType w:val="hybridMultilevel"/>
    <w:tmpl w:val="6156A93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1253"/>
    <w:rsid w:val="0000567A"/>
    <w:rsid w:val="00011B4B"/>
    <w:rsid w:val="000120A4"/>
    <w:rsid w:val="000165A1"/>
    <w:rsid w:val="00017545"/>
    <w:rsid w:val="0002053F"/>
    <w:rsid w:val="00020C3F"/>
    <w:rsid w:val="000231B2"/>
    <w:rsid w:val="000231D8"/>
    <w:rsid w:val="00023952"/>
    <w:rsid w:val="00025FB0"/>
    <w:rsid w:val="00026DEB"/>
    <w:rsid w:val="000326D9"/>
    <w:rsid w:val="00040D88"/>
    <w:rsid w:val="000450B7"/>
    <w:rsid w:val="00067528"/>
    <w:rsid w:val="00075078"/>
    <w:rsid w:val="00075445"/>
    <w:rsid w:val="000810AC"/>
    <w:rsid w:val="00083AE4"/>
    <w:rsid w:val="00084890"/>
    <w:rsid w:val="00097386"/>
    <w:rsid w:val="000A1146"/>
    <w:rsid w:val="000A485B"/>
    <w:rsid w:val="000B014E"/>
    <w:rsid w:val="000B1240"/>
    <w:rsid w:val="000C3179"/>
    <w:rsid w:val="000C370B"/>
    <w:rsid w:val="000C5742"/>
    <w:rsid w:val="000D20E6"/>
    <w:rsid w:val="00105D14"/>
    <w:rsid w:val="0011112B"/>
    <w:rsid w:val="00113447"/>
    <w:rsid w:val="00121095"/>
    <w:rsid w:val="00127C0B"/>
    <w:rsid w:val="00132557"/>
    <w:rsid w:val="001362FA"/>
    <w:rsid w:val="00136B10"/>
    <w:rsid w:val="0014415D"/>
    <w:rsid w:val="0015234B"/>
    <w:rsid w:val="00152CB0"/>
    <w:rsid w:val="00156264"/>
    <w:rsid w:val="00156530"/>
    <w:rsid w:val="001565F8"/>
    <w:rsid w:val="001571EB"/>
    <w:rsid w:val="00160023"/>
    <w:rsid w:val="00163034"/>
    <w:rsid w:val="00165C0D"/>
    <w:rsid w:val="00165CE2"/>
    <w:rsid w:val="001765BE"/>
    <w:rsid w:val="00181857"/>
    <w:rsid w:val="0018461F"/>
    <w:rsid w:val="00184EDC"/>
    <w:rsid w:val="00194770"/>
    <w:rsid w:val="001A5F9B"/>
    <w:rsid w:val="001A6E95"/>
    <w:rsid w:val="001B10C7"/>
    <w:rsid w:val="001B1635"/>
    <w:rsid w:val="001B49CC"/>
    <w:rsid w:val="001B4D65"/>
    <w:rsid w:val="001B6946"/>
    <w:rsid w:val="001D10FE"/>
    <w:rsid w:val="001D708E"/>
    <w:rsid w:val="001D70DA"/>
    <w:rsid w:val="001F1CF4"/>
    <w:rsid w:val="001F581D"/>
    <w:rsid w:val="001F6AA1"/>
    <w:rsid w:val="001F7237"/>
    <w:rsid w:val="00201796"/>
    <w:rsid w:val="00204E11"/>
    <w:rsid w:val="00210AD6"/>
    <w:rsid w:val="002143A5"/>
    <w:rsid w:val="00216762"/>
    <w:rsid w:val="0022396C"/>
    <w:rsid w:val="00224AE3"/>
    <w:rsid w:val="002374A4"/>
    <w:rsid w:val="00237515"/>
    <w:rsid w:val="00255B5F"/>
    <w:rsid w:val="00261231"/>
    <w:rsid w:val="00264500"/>
    <w:rsid w:val="00281F7C"/>
    <w:rsid w:val="002924CB"/>
    <w:rsid w:val="00293C94"/>
    <w:rsid w:val="002A20D1"/>
    <w:rsid w:val="002B5955"/>
    <w:rsid w:val="002B6F89"/>
    <w:rsid w:val="002B73DD"/>
    <w:rsid w:val="002C05B3"/>
    <w:rsid w:val="002C6F74"/>
    <w:rsid w:val="002D3EAE"/>
    <w:rsid w:val="002D582D"/>
    <w:rsid w:val="002D5ABB"/>
    <w:rsid w:val="002E346C"/>
    <w:rsid w:val="002E40CA"/>
    <w:rsid w:val="002E5BCA"/>
    <w:rsid w:val="00303777"/>
    <w:rsid w:val="00313DC4"/>
    <w:rsid w:val="003235C0"/>
    <w:rsid w:val="003277F1"/>
    <w:rsid w:val="0033515C"/>
    <w:rsid w:val="00337FA5"/>
    <w:rsid w:val="003609D6"/>
    <w:rsid w:val="00360FE5"/>
    <w:rsid w:val="003725E0"/>
    <w:rsid w:val="0037504A"/>
    <w:rsid w:val="003778B2"/>
    <w:rsid w:val="00380937"/>
    <w:rsid w:val="00395B20"/>
    <w:rsid w:val="003A07E8"/>
    <w:rsid w:val="003A1377"/>
    <w:rsid w:val="003A199A"/>
    <w:rsid w:val="003A3D02"/>
    <w:rsid w:val="003B54A8"/>
    <w:rsid w:val="003D0A9F"/>
    <w:rsid w:val="003D1D45"/>
    <w:rsid w:val="003D27F8"/>
    <w:rsid w:val="003D33AE"/>
    <w:rsid w:val="003D7B0B"/>
    <w:rsid w:val="003F0D20"/>
    <w:rsid w:val="003F1F43"/>
    <w:rsid w:val="003F4F25"/>
    <w:rsid w:val="00413F4E"/>
    <w:rsid w:val="00437702"/>
    <w:rsid w:val="00451194"/>
    <w:rsid w:val="00454EDF"/>
    <w:rsid w:val="004606E7"/>
    <w:rsid w:val="00470135"/>
    <w:rsid w:val="004709A1"/>
    <w:rsid w:val="0047606A"/>
    <w:rsid w:val="004824A6"/>
    <w:rsid w:val="00486CA1"/>
    <w:rsid w:val="004908B5"/>
    <w:rsid w:val="0049121B"/>
    <w:rsid w:val="004A1688"/>
    <w:rsid w:val="004A3A09"/>
    <w:rsid w:val="004B1A5D"/>
    <w:rsid w:val="004B49D5"/>
    <w:rsid w:val="004B6796"/>
    <w:rsid w:val="004C4709"/>
    <w:rsid w:val="004E2A64"/>
    <w:rsid w:val="004E660A"/>
    <w:rsid w:val="004F2013"/>
    <w:rsid w:val="005167F8"/>
    <w:rsid w:val="00531388"/>
    <w:rsid w:val="00547B78"/>
    <w:rsid w:val="00553B33"/>
    <w:rsid w:val="00563A02"/>
    <w:rsid w:val="00564449"/>
    <w:rsid w:val="00566C63"/>
    <w:rsid w:val="00573DD4"/>
    <w:rsid w:val="0057708D"/>
    <w:rsid w:val="0057744E"/>
    <w:rsid w:val="00585FE9"/>
    <w:rsid w:val="005875DF"/>
    <w:rsid w:val="005A0A9D"/>
    <w:rsid w:val="005A300B"/>
    <w:rsid w:val="005A56AA"/>
    <w:rsid w:val="005B4241"/>
    <w:rsid w:val="005B6196"/>
    <w:rsid w:val="005B7068"/>
    <w:rsid w:val="005B715C"/>
    <w:rsid w:val="005D0895"/>
    <w:rsid w:val="005E0F3D"/>
    <w:rsid w:val="005E16BF"/>
    <w:rsid w:val="005E19C6"/>
    <w:rsid w:val="005E1C42"/>
    <w:rsid w:val="005F5B3D"/>
    <w:rsid w:val="00605414"/>
    <w:rsid w:val="00606F80"/>
    <w:rsid w:val="00613D99"/>
    <w:rsid w:val="006332D7"/>
    <w:rsid w:val="00640F39"/>
    <w:rsid w:val="00655039"/>
    <w:rsid w:val="00660A41"/>
    <w:rsid w:val="00665213"/>
    <w:rsid w:val="006754FD"/>
    <w:rsid w:val="006769E0"/>
    <w:rsid w:val="0068167E"/>
    <w:rsid w:val="00685787"/>
    <w:rsid w:val="00687B35"/>
    <w:rsid w:val="00690502"/>
    <w:rsid w:val="00692B8D"/>
    <w:rsid w:val="006A2A9E"/>
    <w:rsid w:val="006B0C27"/>
    <w:rsid w:val="006B6D50"/>
    <w:rsid w:val="006C0636"/>
    <w:rsid w:val="006C3558"/>
    <w:rsid w:val="006C6627"/>
    <w:rsid w:val="006C7D4D"/>
    <w:rsid w:val="006E0575"/>
    <w:rsid w:val="006E652E"/>
    <w:rsid w:val="006E6D7F"/>
    <w:rsid w:val="006F2EA1"/>
    <w:rsid w:val="006F68BE"/>
    <w:rsid w:val="007057D5"/>
    <w:rsid w:val="00707BF6"/>
    <w:rsid w:val="00714160"/>
    <w:rsid w:val="007179C1"/>
    <w:rsid w:val="00721226"/>
    <w:rsid w:val="00724D6E"/>
    <w:rsid w:val="00731C01"/>
    <w:rsid w:val="00747715"/>
    <w:rsid w:val="00751BED"/>
    <w:rsid w:val="00754659"/>
    <w:rsid w:val="00773C14"/>
    <w:rsid w:val="0078595A"/>
    <w:rsid w:val="007A0548"/>
    <w:rsid w:val="007A4BDD"/>
    <w:rsid w:val="007A64ED"/>
    <w:rsid w:val="007B7711"/>
    <w:rsid w:val="007C44B0"/>
    <w:rsid w:val="007E06EB"/>
    <w:rsid w:val="007E3B79"/>
    <w:rsid w:val="007E7F3F"/>
    <w:rsid w:val="007F02D5"/>
    <w:rsid w:val="007F0E96"/>
    <w:rsid w:val="007F6EE5"/>
    <w:rsid w:val="008017BB"/>
    <w:rsid w:val="008066EE"/>
    <w:rsid w:val="008071D5"/>
    <w:rsid w:val="00813561"/>
    <w:rsid w:val="00816B97"/>
    <w:rsid w:val="00817BB6"/>
    <w:rsid w:val="00820EE8"/>
    <w:rsid w:val="00823E3B"/>
    <w:rsid w:val="008371FE"/>
    <w:rsid w:val="00851569"/>
    <w:rsid w:val="008546F7"/>
    <w:rsid w:val="00854715"/>
    <w:rsid w:val="0085633D"/>
    <w:rsid w:val="0086074A"/>
    <w:rsid w:val="00863DBD"/>
    <w:rsid w:val="00884D6C"/>
    <w:rsid w:val="00892429"/>
    <w:rsid w:val="008A0CCC"/>
    <w:rsid w:val="008B5A35"/>
    <w:rsid w:val="008B6361"/>
    <w:rsid w:val="008F0B3B"/>
    <w:rsid w:val="008F2BE0"/>
    <w:rsid w:val="00900667"/>
    <w:rsid w:val="009067C3"/>
    <w:rsid w:val="00912C97"/>
    <w:rsid w:val="00917CC6"/>
    <w:rsid w:val="00927AAF"/>
    <w:rsid w:val="00932E39"/>
    <w:rsid w:val="009436AE"/>
    <w:rsid w:val="00952DFC"/>
    <w:rsid w:val="00956EE0"/>
    <w:rsid w:val="009607B3"/>
    <w:rsid w:val="00966285"/>
    <w:rsid w:val="00966CE4"/>
    <w:rsid w:val="00976588"/>
    <w:rsid w:val="00980AA4"/>
    <w:rsid w:val="00980D71"/>
    <w:rsid w:val="00986FE4"/>
    <w:rsid w:val="00987E8E"/>
    <w:rsid w:val="00995F32"/>
    <w:rsid w:val="009A64D4"/>
    <w:rsid w:val="009B3364"/>
    <w:rsid w:val="009B5FA1"/>
    <w:rsid w:val="009B603D"/>
    <w:rsid w:val="009C147A"/>
    <w:rsid w:val="009D5716"/>
    <w:rsid w:val="009E625C"/>
    <w:rsid w:val="009F40F1"/>
    <w:rsid w:val="00A23ECE"/>
    <w:rsid w:val="00A27CA7"/>
    <w:rsid w:val="00A35B23"/>
    <w:rsid w:val="00A3733D"/>
    <w:rsid w:val="00A40624"/>
    <w:rsid w:val="00A40F6E"/>
    <w:rsid w:val="00A4129C"/>
    <w:rsid w:val="00A414A9"/>
    <w:rsid w:val="00A64FC8"/>
    <w:rsid w:val="00A71D0A"/>
    <w:rsid w:val="00A77F1E"/>
    <w:rsid w:val="00A81FA1"/>
    <w:rsid w:val="00A83D15"/>
    <w:rsid w:val="00A9604C"/>
    <w:rsid w:val="00A96FD2"/>
    <w:rsid w:val="00AC4800"/>
    <w:rsid w:val="00AC6E7B"/>
    <w:rsid w:val="00AC71C3"/>
    <w:rsid w:val="00AC7A36"/>
    <w:rsid w:val="00AD4751"/>
    <w:rsid w:val="00AD710A"/>
    <w:rsid w:val="00AF1126"/>
    <w:rsid w:val="00AF5441"/>
    <w:rsid w:val="00AF5D8D"/>
    <w:rsid w:val="00AF6C08"/>
    <w:rsid w:val="00B02C0D"/>
    <w:rsid w:val="00B04290"/>
    <w:rsid w:val="00B50DB3"/>
    <w:rsid w:val="00B646C3"/>
    <w:rsid w:val="00B6498D"/>
    <w:rsid w:val="00B80DEF"/>
    <w:rsid w:val="00B935ED"/>
    <w:rsid w:val="00B975E4"/>
    <w:rsid w:val="00B976B3"/>
    <w:rsid w:val="00BA35A1"/>
    <w:rsid w:val="00BA3F17"/>
    <w:rsid w:val="00BA509E"/>
    <w:rsid w:val="00BA6767"/>
    <w:rsid w:val="00BB03CB"/>
    <w:rsid w:val="00BC071A"/>
    <w:rsid w:val="00BC1C7B"/>
    <w:rsid w:val="00BC4669"/>
    <w:rsid w:val="00BD4CDF"/>
    <w:rsid w:val="00BE4CBE"/>
    <w:rsid w:val="00BF520D"/>
    <w:rsid w:val="00C04B70"/>
    <w:rsid w:val="00C11AD0"/>
    <w:rsid w:val="00C16144"/>
    <w:rsid w:val="00C16442"/>
    <w:rsid w:val="00C16DC0"/>
    <w:rsid w:val="00C16EF1"/>
    <w:rsid w:val="00C24ABD"/>
    <w:rsid w:val="00C448D3"/>
    <w:rsid w:val="00C577C4"/>
    <w:rsid w:val="00C6217B"/>
    <w:rsid w:val="00C70866"/>
    <w:rsid w:val="00C737B5"/>
    <w:rsid w:val="00C822C6"/>
    <w:rsid w:val="00C9217E"/>
    <w:rsid w:val="00C94B2A"/>
    <w:rsid w:val="00CA0F79"/>
    <w:rsid w:val="00CA3C71"/>
    <w:rsid w:val="00CA5439"/>
    <w:rsid w:val="00CB1822"/>
    <w:rsid w:val="00CC49AE"/>
    <w:rsid w:val="00CC6B47"/>
    <w:rsid w:val="00CC70E9"/>
    <w:rsid w:val="00CD13AB"/>
    <w:rsid w:val="00CD33FB"/>
    <w:rsid w:val="00CD3E27"/>
    <w:rsid w:val="00CD459B"/>
    <w:rsid w:val="00CE0AAB"/>
    <w:rsid w:val="00CE25D4"/>
    <w:rsid w:val="00CF2454"/>
    <w:rsid w:val="00CF7A63"/>
    <w:rsid w:val="00D011AC"/>
    <w:rsid w:val="00D05820"/>
    <w:rsid w:val="00D117F6"/>
    <w:rsid w:val="00D14D9C"/>
    <w:rsid w:val="00D15A4B"/>
    <w:rsid w:val="00D26B76"/>
    <w:rsid w:val="00D54CE7"/>
    <w:rsid w:val="00D5525A"/>
    <w:rsid w:val="00D6017E"/>
    <w:rsid w:val="00D64845"/>
    <w:rsid w:val="00D64F76"/>
    <w:rsid w:val="00D658C7"/>
    <w:rsid w:val="00D66F4D"/>
    <w:rsid w:val="00D702B1"/>
    <w:rsid w:val="00D86A2E"/>
    <w:rsid w:val="00DB3D6C"/>
    <w:rsid w:val="00DC1CF5"/>
    <w:rsid w:val="00DD777A"/>
    <w:rsid w:val="00DD7A55"/>
    <w:rsid w:val="00DE0A13"/>
    <w:rsid w:val="00DF3075"/>
    <w:rsid w:val="00E014B6"/>
    <w:rsid w:val="00E02E0D"/>
    <w:rsid w:val="00E1162F"/>
    <w:rsid w:val="00E11D5F"/>
    <w:rsid w:val="00E12823"/>
    <w:rsid w:val="00E20E1F"/>
    <w:rsid w:val="00E307F4"/>
    <w:rsid w:val="00E3527D"/>
    <w:rsid w:val="00E44881"/>
    <w:rsid w:val="00E4537D"/>
    <w:rsid w:val="00E454F6"/>
    <w:rsid w:val="00E53919"/>
    <w:rsid w:val="00E5451C"/>
    <w:rsid w:val="00E628F7"/>
    <w:rsid w:val="00E64444"/>
    <w:rsid w:val="00E6657D"/>
    <w:rsid w:val="00E7118F"/>
    <w:rsid w:val="00E72225"/>
    <w:rsid w:val="00E7390F"/>
    <w:rsid w:val="00E7668F"/>
    <w:rsid w:val="00E814CF"/>
    <w:rsid w:val="00E819AE"/>
    <w:rsid w:val="00E81F8E"/>
    <w:rsid w:val="00E84EAA"/>
    <w:rsid w:val="00E8509A"/>
    <w:rsid w:val="00E91D43"/>
    <w:rsid w:val="00EA48A7"/>
    <w:rsid w:val="00EA583F"/>
    <w:rsid w:val="00EB2CF5"/>
    <w:rsid w:val="00EB5225"/>
    <w:rsid w:val="00EC1C2F"/>
    <w:rsid w:val="00ED216A"/>
    <w:rsid w:val="00ED28A4"/>
    <w:rsid w:val="00EE2597"/>
    <w:rsid w:val="00EE3B5F"/>
    <w:rsid w:val="00F06B6B"/>
    <w:rsid w:val="00F071F7"/>
    <w:rsid w:val="00F12549"/>
    <w:rsid w:val="00F15315"/>
    <w:rsid w:val="00F17BBD"/>
    <w:rsid w:val="00F221D8"/>
    <w:rsid w:val="00F27657"/>
    <w:rsid w:val="00F342DC"/>
    <w:rsid w:val="00F35A7E"/>
    <w:rsid w:val="00F407E3"/>
    <w:rsid w:val="00F44035"/>
    <w:rsid w:val="00F51C99"/>
    <w:rsid w:val="00F535E5"/>
    <w:rsid w:val="00F536CD"/>
    <w:rsid w:val="00F63041"/>
    <w:rsid w:val="00F67E97"/>
    <w:rsid w:val="00F7489C"/>
    <w:rsid w:val="00F76452"/>
    <w:rsid w:val="00F76B4A"/>
    <w:rsid w:val="00F80403"/>
    <w:rsid w:val="00F83CC9"/>
    <w:rsid w:val="00F8440C"/>
    <w:rsid w:val="00F85B44"/>
    <w:rsid w:val="00F9319A"/>
    <w:rsid w:val="00F93351"/>
    <w:rsid w:val="00FA0A66"/>
    <w:rsid w:val="00FB0E92"/>
    <w:rsid w:val="00FB135D"/>
    <w:rsid w:val="00FC0161"/>
    <w:rsid w:val="00FC034B"/>
    <w:rsid w:val="00FC556A"/>
    <w:rsid w:val="00FC76C7"/>
    <w:rsid w:val="00FD6B46"/>
    <w:rsid w:val="00FD79EA"/>
    <w:rsid w:val="00FE55B6"/>
    <w:rsid w:val="00FE73C2"/>
    <w:rsid w:val="00FF52DE"/>
    <w:rsid w:val="00FF6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0FE8D"/>
  <w15:docId w15:val="{FAE0E4E8-370B-430F-B7FF-12D28365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1571EB"/>
    <w:pPr>
      <w:keepNext/>
      <w:spacing w:before="240" w:after="60"/>
      <w:outlineLvl w:val="2"/>
    </w:pPr>
    <w:rPr>
      <w:b/>
    </w:rPr>
  </w:style>
  <w:style w:type="paragraph" w:styleId="berschrift4">
    <w:name w:val="heading 4"/>
    <w:basedOn w:val="Standard"/>
    <w:next w:val="Standard"/>
    <w:qFormat/>
    <w:rsid w:val="001571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1571EB"/>
    <w:rPr>
      <w:sz w:val="16"/>
    </w:rPr>
  </w:style>
  <w:style w:type="paragraph" w:styleId="Kommentartext">
    <w:name w:val="annotation text"/>
    <w:basedOn w:val="Standard"/>
    <w:link w:val="KommentartextZchn"/>
    <w:semiHidden/>
    <w:rsid w:val="001571EB"/>
    <w:rPr>
      <w:sz w:val="20"/>
    </w:rPr>
  </w:style>
  <w:style w:type="paragraph" w:styleId="Fuzeile">
    <w:name w:val="footer"/>
    <w:basedOn w:val="Standard"/>
    <w:rsid w:val="001571EB"/>
    <w:pPr>
      <w:tabs>
        <w:tab w:val="center" w:pos="4819"/>
        <w:tab w:val="right" w:pos="9071"/>
      </w:tabs>
    </w:pPr>
  </w:style>
  <w:style w:type="paragraph" w:styleId="Kopfzeile">
    <w:name w:val="header"/>
    <w:basedOn w:val="Standard"/>
    <w:rsid w:val="001571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751BED"/>
    <w:rPr>
      <w:b/>
      <w:bCs/>
    </w:rPr>
  </w:style>
  <w:style w:type="character" w:customStyle="1" w:styleId="KommentartextZchn">
    <w:name w:val="Kommentartext Zchn"/>
    <w:basedOn w:val="Absatz-Standardschriftart"/>
    <w:link w:val="Kommentartext"/>
    <w:semiHidden/>
    <w:rsid w:val="00751BED"/>
    <w:rPr>
      <w:rFonts w:ascii="Arial" w:hAnsi="Arial"/>
    </w:rPr>
  </w:style>
  <w:style w:type="character" w:customStyle="1" w:styleId="KommentarthemaZchn">
    <w:name w:val="Kommentarthema Zchn"/>
    <w:basedOn w:val="KommentartextZchn"/>
    <w:link w:val="Kommentarthema"/>
    <w:semiHidden/>
    <w:rsid w:val="00751BED"/>
    <w:rPr>
      <w:rFonts w:ascii="Arial" w:hAnsi="Arial"/>
      <w:b/>
      <w:bCs/>
    </w:rPr>
  </w:style>
  <w:style w:type="table" w:styleId="Tabellenraster">
    <w:name w:val="Table Grid"/>
    <w:basedOn w:val="NormaleTabelle"/>
    <w:rsid w:val="0001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93C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7F48-0D64-44CD-9E91-3CD3FB74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5</cp:revision>
  <cp:lastPrinted>2021-10-05T05:44:00Z</cp:lastPrinted>
  <dcterms:created xsi:type="dcterms:W3CDTF">2021-09-27T10:07:00Z</dcterms:created>
  <dcterms:modified xsi:type="dcterms:W3CDTF">2021-10-05T05:44:00Z</dcterms:modified>
</cp:coreProperties>
</file>