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76473" w14:textId="6A8D8CD0" w:rsidR="003D7B0B" w:rsidRPr="00EC7E92" w:rsidRDefault="003D7B0B" w:rsidP="00397717">
      <w:pPr>
        <w:jc w:val="right"/>
      </w:pPr>
      <w:r w:rsidRPr="00EC7E92">
        <w:t xml:space="preserve">Anlage </w:t>
      </w:r>
      <w:r w:rsidR="00EC7E92" w:rsidRPr="00EC7E92">
        <w:t>1</w:t>
      </w:r>
      <w:r w:rsidR="00FA4C04">
        <w:t xml:space="preserve">1 </w:t>
      </w:r>
      <w:bookmarkStart w:id="0" w:name="_GoBack"/>
      <w:bookmarkEnd w:id="0"/>
      <w:r w:rsidRPr="00EC7E92">
        <w:t xml:space="preserve">zur GRDrs </w:t>
      </w:r>
      <w:r w:rsidR="00EC7E92" w:rsidRPr="00EC7E92">
        <w:t>703</w:t>
      </w:r>
      <w:r w:rsidR="005F5B3D" w:rsidRPr="00EC7E92">
        <w:t>/20</w:t>
      </w:r>
      <w:r w:rsidR="00AE7B02" w:rsidRPr="00EC7E92">
        <w:t>21</w:t>
      </w:r>
    </w:p>
    <w:p w14:paraId="07B58292" w14:textId="77777777" w:rsidR="003D7B0B" w:rsidRPr="00EC7E92" w:rsidRDefault="003D7B0B" w:rsidP="006E0575"/>
    <w:p w14:paraId="595ED901" w14:textId="77777777" w:rsidR="003D7B0B" w:rsidRPr="00EC7E92" w:rsidRDefault="003D7B0B" w:rsidP="006E0575"/>
    <w:p w14:paraId="26B7DD85" w14:textId="77777777" w:rsidR="00184EDC" w:rsidRPr="00EC7E92" w:rsidRDefault="003D7B0B" w:rsidP="00397717">
      <w:pPr>
        <w:jc w:val="center"/>
        <w:rPr>
          <w:b/>
          <w:sz w:val="36"/>
        </w:rPr>
      </w:pPr>
      <w:r w:rsidRPr="00EC7E92">
        <w:rPr>
          <w:b/>
          <w:sz w:val="36"/>
          <w:u w:val="single"/>
        </w:rPr>
        <w:t>Stellenschaffun</w:t>
      </w:r>
      <w:r w:rsidRPr="00EC7E92">
        <w:rPr>
          <w:b/>
          <w:sz w:val="36"/>
        </w:rPr>
        <w:t>g</w:t>
      </w:r>
    </w:p>
    <w:p w14:paraId="76BA0F34" w14:textId="77777777" w:rsidR="003D7B0B" w:rsidRPr="00EC7E92" w:rsidRDefault="00184EDC" w:rsidP="00397717">
      <w:pPr>
        <w:jc w:val="center"/>
        <w:rPr>
          <w:b/>
          <w:sz w:val="36"/>
          <w:szCs w:val="36"/>
          <w:u w:val="single"/>
        </w:rPr>
      </w:pPr>
      <w:r w:rsidRPr="00EC7E92">
        <w:rPr>
          <w:b/>
          <w:sz w:val="36"/>
          <w:szCs w:val="36"/>
          <w:u w:val="single"/>
        </w:rPr>
        <w:t>zum Stellenplan 20</w:t>
      </w:r>
      <w:r w:rsidR="00DE362D" w:rsidRPr="00EC7E92">
        <w:rPr>
          <w:b/>
          <w:sz w:val="36"/>
          <w:szCs w:val="36"/>
          <w:u w:val="single"/>
        </w:rPr>
        <w:t>2</w:t>
      </w:r>
      <w:r w:rsidR="00881E2F" w:rsidRPr="00EC7E92">
        <w:rPr>
          <w:b/>
          <w:sz w:val="36"/>
          <w:szCs w:val="36"/>
          <w:u w:val="single"/>
        </w:rPr>
        <w:t>2</w:t>
      </w:r>
    </w:p>
    <w:p w14:paraId="5AE64090" w14:textId="77777777" w:rsidR="003D7B0B" w:rsidRPr="00EC7E92" w:rsidRDefault="003D7B0B" w:rsidP="006E0575">
      <w:pPr>
        <w:rPr>
          <w:u w:val="single"/>
        </w:rPr>
      </w:pPr>
    </w:p>
    <w:p w14:paraId="4E47CC1F" w14:textId="77777777" w:rsidR="00DE362D" w:rsidRPr="00EC7E92"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EC7E92" w:rsidRPr="00EC7E92" w14:paraId="507BCCA8" w14:textId="77777777" w:rsidTr="00DE362D">
        <w:trPr>
          <w:cantSplit/>
          <w:tblHeader/>
        </w:trPr>
        <w:tc>
          <w:tcPr>
            <w:tcW w:w="1814" w:type="dxa"/>
            <w:shd w:val="pct12" w:color="auto" w:fill="FFFFFF"/>
          </w:tcPr>
          <w:p w14:paraId="336EAC1C" w14:textId="77777777" w:rsidR="00DE362D" w:rsidRPr="00EC7E92" w:rsidRDefault="005F5B3D" w:rsidP="0030686C">
            <w:pPr>
              <w:spacing w:before="120" w:after="120" w:line="200" w:lineRule="exact"/>
              <w:ind w:right="-85"/>
              <w:rPr>
                <w:sz w:val="16"/>
                <w:szCs w:val="16"/>
              </w:rPr>
            </w:pPr>
            <w:r w:rsidRPr="00EC7E92">
              <w:rPr>
                <w:sz w:val="16"/>
                <w:szCs w:val="16"/>
              </w:rPr>
              <w:t>Org.-Einheit</w:t>
            </w:r>
            <w:r w:rsidR="00380937" w:rsidRPr="00EC7E92">
              <w:rPr>
                <w:sz w:val="16"/>
                <w:szCs w:val="16"/>
              </w:rPr>
              <w:t>,</w:t>
            </w:r>
          </w:p>
          <w:p w14:paraId="37CD88C3" w14:textId="77777777" w:rsidR="005F5B3D" w:rsidRPr="00EC7E92" w:rsidRDefault="005F5B3D" w:rsidP="0030686C">
            <w:pPr>
              <w:spacing w:before="120" w:after="120" w:line="200" w:lineRule="exact"/>
              <w:ind w:right="-85"/>
              <w:rPr>
                <w:sz w:val="16"/>
                <w:szCs w:val="16"/>
              </w:rPr>
            </w:pPr>
            <w:r w:rsidRPr="00EC7E92">
              <w:rPr>
                <w:sz w:val="16"/>
                <w:szCs w:val="16"/>
              </w:rPr>
              <w:t>Kostenstelle</w:t>
            </w:r>
          </w:p>
        </w:tc>
        <w:tc>
          <w:tcPr>
            <w:tcW w:w="1701" w:type="dxa"/>
            <w:shd w:val="pct12" w:color="auto" w:fill="FFFFFF"/>
          </w:tcPr>
          <w:p w14:paraId="63046B77" w14:textId="77777777" w:rsidR="005F5B3D" w:rsidRPr="00EC7E92" w:rsidRDefault="005F5B3D" w:rsidP="0030686C">
            <w:pPr>
              <w:spacing w:before="120" w:after="120" w:line="200" w:lineRule="exact"/>
              <w:ind w:right="-85"/>
              <w:rPr>
                <w:sz w:val="16"/>
                <w:szCs w:val="16"/>
              </w:rPr>
            </w:pPr>
            <w:r w:rsidRPr="00EC7E92">
              <w:rPr>
                <w:sz w:val="16"/>
                <w:szCs w:val="16"/>
              </w:rPr>
              <w:t>Amt</w:t>
            </w:r>
          </w:p>
        </w:tc>
        <w:tc>
          <w:tcPr>
            <w:tcW w:w="794" w:type="dxa"/>
            <w:shd w:val="pct12" w:color="auto" w:fill="FFFFFF"/>
          </w:tcPr>
          <w:p w14:paraId="3B9BB123" w14:textId="77777777" w:rsidR="00DE362D" w:rsidRPr="00EC7E92" w:rsidRDefault="00606F80" w:rsidP="0030686C">
            <w:pPr>
              <w:spacing w:before="120" w:after="120" w:line="200" w:lineRule="exact"/>
              <w:ind w:right="-85"/>
              <w:rPr>
                <w:sz w:val="16"/>
                <w:szCs w:val="16"/>
              </w:rPr>
            </w:pPr>
            <w:r w:rsidRPr="00EC7E92">
              <w:rPr>
                <w:sz w:val="16"/>
                <w:szCs w:val="16"/>
              </w:rPr>
              <w:t>BesGr.</w:t>
            </w:r>
          </w:p>
          <w:p w14:paraId="5EE75DAF" w14:textId="77777777" w:rsidR="00DE362D" w:rsidRPr="00EC7E92" w:rsidRDefault="00606F80" w:rsidP="0030686C">
            <w:pPr>
              <w:spacing w:before="120" w:after="120" w:line="200" w:lineRule="exact"/>
              <w:ind w:right="-85"/>
              <w:rPr>
                <w:sz w:val="16"/>
                <w:szCs w:val="16"/>
              </w:rPr>
            </w:pPr>
            <w:r w:rsidRPr="00EC7E92">
              <w:rPr>
                <w:sz w:val="16"/>
                <w:szCs w:val="16"/>
              </w:rPr>
              <w:t>oder</w:t>
            </w:r>
          </w:p>
          <w:p w14:paraId="6D01F7D6" w14:textId="77777777" w:rsidR="00606F80" w:rsidRPr="00EC7E92" w:rsidRDefault="00606F80" w:rsidP="0030686C">
            <w:pPr>
              <w:spacing w:before="120" w:after="120" w:line="200" w:lineRule="exact"/>
              <w:ind w:right="-85"/>
              <w:rPr>
                <w:sz w:val="16"/>
                <w:szCs w:val="16"/>
              </w:rPr>
            </w:pPr>
            <w:r w:rsidRPr="00EC7E92">
              <w:rPr>
                <w:sz w:val="16"/>
                <w:szCs w:val="16"/>
              </w:rPr>
              <w:t>EG</w:t>
            </w:r>
          </w:p>
        </w:tc>
        <w:tc>
          <w:tcPr>
            <w:tcW w:w="1928" w:type="dxa"/>
            <w:shd w:val="pct12" w:color="auto" w:fill="FFFFFF"/>
          </w:tcPr>
          <w:p w14:paraId="7F8DB0D8" w14:textId="77777777" w:rsidR="005F5B3D" w:rsidRPr="00EC7E92" w:rsidRDefault="005F5B3D" w:rsidP="0030686C">
            <w:pPr>
              <w:spacing w:before="120" w:after="120" w:line="200" w:lineRule="exact"/>
              <w:ind w:right="-85"/>
              <w:rPr>
                <w:sz w:val="16"/>
                <w:szCs w:val="16"/>
              </w:rPr>
            </w:pPr>
            <w:r w:rsidRPr="00EC7E92">
              <w:rPr>
                <w:sz w:val="16"/>
                <w:szCs w:val="16"/>
              </w:rPr>
              <w:t>Funktions</w:t>
            </w:r>
            <w:r w:rsidR="00622CC7" w:rsidRPr="00EC7E92">
              <w:rPr>
                <w:sz w:val="16"/>
                <w:szCs w:val="16"/>
              </w:rPr>
              <w:t>-</w:t>
            </w:r>
            <w:r w:rsidR="00622CC7" w:rsidRPr="00EC7E92">
              <w:rPr>
                <w:sz w:val="16"/>
                <w:szCs w:val="16"/>
              </w:rPr>
              <w:br/>
            </w:r>
            <w:r w:rsidRPr="00EC7E92">
              <w:rPr>
                <w:sz w:val="16"/>
                <w:szCs w:val="16"/>
              </w:rPr>
              <w:t>bezeichnung</w:t>
            </w:r>
          </w:p>
        </w:tc>
        <w:tc>
          <w:tcPr>
            <w:tcW w:w="737" w:type="dxa"/>
            <w:shd w:val="pct12" w:color="auto" w:fill="FFFFFF"/>
          </w:tcPr>
          <w:p w14:paraId="79C64214" w14:textId="77777777" w:rsidR="005F5B3D" w:rsidRPr="00EC7E92" w:rsidRDefault="005F5B3D" w:rsidP="0030686C">
            <w:pPr>
              <w:spacing w:before="120" w:after="120" w:line="200" w:lineRule="exact"/>
              <w:ind w:right="-85"/>
              <w:rPr>
                <w:sz w:val="16"/>
                <w:szCs w:val="16"/>
              </w:rPr>
            </w:pPr>
            <w:r w:rsidRPr="00EC7E92">
              <w:rPr>
                <w:sz w:val="16"/>
                <w:szCs w:val="16"/>
              </w:rPr>
              <w:t>Anzahl</w:t>
            </w:r>
            <w:r w:rsidRPr="00EC7E92">
              <w:rPr>
                <w:sz w:val="16"/>
                <w:szCs w:val="16"/>
              </w:rPr>
              <w:br/>
              <w:t>der</w:t>
            </w:r>
            <w:r w:rsidRPr="00EC7E92">
              <w:rPr>
                <w:sz w:val="16"/>
                <w:szCs w:val="16"/>
              </w:rPr>
              <w:br/>
              <w:t>Stellen</w:t>
            </w:r>
          </w:p>
        </w:tc>
        <w:tc>
          <w:tcPr>
            <w:tcW w:w="1134" w:type="dxa"/>
            <w:shd w:val="pct12" w:color="auto" w:fill="FFFFFF"/>
          </w:tcPr>
          <w:p w14:paraId="45E203F5" w14:textId="77777777" w:rsidR="005F5B3D" w:rsidRPr="00EC7E92" w:rsidRDefault="005F5B3D" w:rsidP="0030686C">
            <w:pPr>
              <w:spacing w:before="120" w:after="120" w:line="200" w:lineRule="exact"/>
              <w:ind w:right="-85"/>
              <w:rPr>
                <w:sz w:val="16"/>
                <w:szCs w:val="16"/>
              </w:rPr>
            </w:pPr>
            <w:r w:rsidRPr="00EC7E92">
              <w:rPr>
                <w:sz w:val="16"/>
                <w:szCs w:val="16"/>
              </w:rPr>
              <w:t>Stellen-</w:t>
            </w:r>
            <w:r w:rsidRPr="00EC7E92">
              <w:rPr>
                <w:sz w:val="16"/>
                <w:szCs w:val="16"/>
              </w:rPr>
              <w:br/>
              <w:t>vermerk</w:t>
            </w:r>
          </w:p>
        </w:tc>
        <w:tc>
          <w:tcPr>
            <w:tcW w:w="1417" w:type="dxa"/>
            <w:shd w:val="pct12" w:color="auto" w:fill="FFFFFF"/>
          </w:tcPr>
          <w:p w14:paraId="0ABEB03D" w14:textId="77777777" w:rsidR="005F5B3D" w:rsidRPr="00EC7E92" w:rsidRDefault="005F5B3D" w:rsidP="0030686C">
            <w:pPr>
              <w:spacing w:before="120" w:after="120" w:line="200" w:lineRule="exact"/>
              <w:ind w:right="-85"/>
              <w:rPr>
                <w:sz w:val="16"/>
                <w:szCs w:val="16"/>
              </w:rPr>
            </w:pPr>
            <w:r w:rsidRPr="00EC7E92">
              <w:rPr>
                <w:sz w:val="16"/>
                <w:szCs w:val="16"/>
              </w:rPr>
              <w:t>durchschnittl.</w:t>
            </w:r>
            <w:r w:rsidRPr="00EC7E92">
              <w:rPr>
                <w:sz w:val="16"/>
                <w:szCs w:val="16"/>
              </w:rPr>
              <w:br/>
              <w:t>jährl. kosten-</w:t>
            </w:r>
            <w:r w:rsidRPr="00EC7E92">
              <w:rPr>
                <w:sz w:val="16"/>
                <w:szCs w:val="16"/>
              </w:rPr>
              <w:br/>
              <w:t>wirksamer</w:t>
            </w:r>
            <w:r w:rsidR="00DE362D" w:rsidRPr="00EC7E92">
              <w:rPr>
                <w:sz w:val="16"/>
                <w:szCs w:val="16"/>
              </w:rPr>
              <w:t xml:space="preserve"> </w:t>
            </w:r>
            <w:r w:rsidRPr="00EC7E92">
              <w:rPr>
                <w:sz w:val="16"/>
                <w:szCs w:val="16"/>
              </w:rPr>
              <w:br/>
              <w:t>Aufwand</w:t>
            </w:r>
            <w:r w:rsidR="0030686C" w:rsidRPr="00EC7E92">
              <w:rPr>
                <w:sz w:val="16"/>
                <w:szCs w:val="16"/>
              </w:rPr>
              <w:t xml:space="preserve"> </w:t>
            </w:r>
            <w:r w:rsidRPr="00EC7E92">
              <w:rPr>
                <w:sz w:val="16"/>
                <w:szCs w:val="16"/>
              </w:rPr>
              <w:br/>
            </w:r>
            <w:r w:rsidR="003F0FAA" w:rsidRPr="00EC7E92">
              <w:rPr>
                <w:sz w:val="16"/>
                <w:szCs w:val="16"/>
              </w:rPr>
              <w:t xml:space="preserve">in </w:t>
            </w:r>
            <w:r w:rsidRPr="00EC7E92">
              <w:rPr>
                <w:sz w:val="16"/>
                <w:szCs w:val="16"/>
              </w:rPr>
              <w:t>Euro</w:t>
            </w:r>
          </w:p>
        </w:tc>
      </w:tr>
      <w:tr w:rsidR="00EC7E92" w:rsidRPr="00EC7E92" w14:paraId="5782463D" w14:textId="77777777" w:rsidTr="00DE362D">
        <w:tc>
          <w:tcPr>
            <w:tcW w:w="1814" w:type="dxa"/>
          </w:tcPr>
          <w:p w14:paraId="38672139" w14:textId="77777777" w:rsidR="005F5B3D" w:rsidRPr="00EC7E92" w:rsidRDefault="005F5B3D" w:rsidP="0030686C">
            <w:pPr>
              <w:rPr>
                <w:sz w:val="20"/>
              </w:rPr>
            </w:pPr>
          </w:p>
          <w:p w14:paraId="67725987" w14:textId="77777777" w:rsidR="005F5B3D" w:rsidRPr="00EC7E92" w:rsidRDefault="00A13AD4" w:rsidP="0030686C">
            <w:pPr>
              <w:rPr>
                <w:sz w:val="20"/>
              </w:rPr>
            </w:pPr>
            <w:r w:rsidRPr="00EC7E92">
              <w:rPr>
                <w:sz w:val="20"/>
              </w:rPr>
              <w:t>32-23</w:t>
            </w:r>
          </w:p>
          <w:p w14:paraId="28E1775F" w14:textId="77777777" w:rsidR="0011112B" w:rsidRPr="00EC7E92" w:rsidRDefault="0011112B" w:rsidP="0030686C">
            <w:pPr>
              <w:rPr>
                <w:sz w:val="20"/>
              </w:rPr>
            </w:pPr>
          </w:p>
          <w:p w14:paraId="6CAD3D7E" w14:textId="77777777" w:rsidR="0011112B" w:rsidRPr="00EC7E92" w:rsidRDefault="00A13AD4" w:rsidP="0030686C">
            <w:pPr>
              <w:rPr>
                <w:sz w:val="20"/>
              </w:rPr>
            </w:pPr>
            <w:r w:rsidRPr="00EC7E92">
              <w:rPr>
                <w:sz w:val="20"/>
              </w:rPr>
              <w:t>3223</w:t>
            </w:r>
            <w:r w:rsidR="00004162" w:rsidRPr="00EC7E92">
              <w:rPr>
                <w:sz w:val="20"/>
              </w:rPr>
              <w:t xml:space="preserve"> </w:t>
            </w:r>
            <w:r w:rsidRPr="00EC7E92">
              <w:rPr>
                <w:sz w:val="20"/>
              </w:rPr>
              <w:t>5231</w:t>
            </w:r>
          </w:p>
          <w:p w14:paraId="4D1CFDA3" w14:textId="77777777" w:rsidR="005F5B3D" w:rsidRPr="00EC7E92" w:rsidRDefault="005F5B3D" w:rsidP="0030686C">
            <w:pPr>
              <w:rPr>
                <w:sz w:val="20"/>
              </w:rPr>
            </w:pPr>
          </w:p>
        </w:tc>
        <w:tc>
          <w:tcPr>
            <w:tcW w:w="1701" w:type="dxa"/>
          </w:tcPr>
          <w:p w14:paraId="6C3B4196" w14:textId="77777777" w:rsidR="00004162" w:rsidRPr="00EC7E92" w:rsidRDefault="00004162" w:rsidP="0030686C">
            <w:pPr>
              <w:rPr>
                <w:sz w:val="20"/>
              </w:rPr>
            </w:pPr>
          </w:p>
          <w:p w14:paraId="384FFC7F" w14:textId="77777777" w:rsidR="005F5B3D" w:rsidRPr="00EC7E92" w:rsidRDefault="00004162" w:rsidP="0030686C">
            <w:pPr>
              <w:rPr>
                <w:sz w:val="20"/>
              </w:rPr>
            </w:pPr>
            <w:r w:rsidRPr="00EC7E92">
              <w:rPr>
                <w:sz w:val="20"/>
              </w:rPr>
              <w:t xml:space="preserve">Amt für öffentliche Ordnung </w:t>
            </w:r>
          </w:p>
        </w:tc>
        <w:tc>
          <w:tcPr>
            <w:tcW w:w="794" w:type="dxa"/>
          </w:tcPr>
          <w:p w14:paraId="6F966847" w14:textId="77777777" w:rsidR="005F5B3D" w:rsidRPr="00EC7E92" w:rsidRDefault="005F5B3D" w:rsidP="0030686C">
            <w:pPr>
              <w:rPr>
                <w:sz w:val="20"/>
              </w:rPr>
            </w:pPr>
          </w:p>
          <w:p w14:paraId="782B6B51" w14:textId="77777777" w:rsidR="005F5B3D" w:rsidRPr="00EC7E92" w:rsidRDefault="00A13AD4" w:rsidP="0030686C">
            <w:pPr>
              <w:rPr>
                <w:sz w:val="20"/>
              </w:rPr>
            </w:pPr>
            <w:r w:rsidRPr="00EC7E92">
              <w:rPr>
                <w:sz w:val="20"/>
              </w:rPr>
              <w:t>A</w:t>
            </w:r>
            <w:r w:rsidR="00004162" w:rsidRPr="00EC7E92">
              <w:rPr>
                <w:sz w:val="20"/>
              </w:rPr>
              <w:t xml:space="preserve"> </w:t>
            </w:r>
            <w:r w:rsidRPr="00EC7E92">
              <w:rPr>
                <w:sz w:val="20"/>
              </w:rPr>
              <w:t>11</w:t>
            </w:r>
          </w:p>
        </w:tc>
        <w:tc>
          <w:tcPr>
            <w:tcW w:w="1928" w:type="dxa"/>
          </w:tcPr>
          <w:p w14:paraId="34C108A0" w14:textId="77777777" w:rsidR="005F5B3D" w:rsidRPr="00EC7E92" w:rsidRDefault="005F5B3D" w:rsidP="0030686C">
            <w:pPr>
              <w:rPr>
                <w:sz w:val="20"/>
              </w:rPr>
            </w:pPr>
          </w:p>
          <w:p w14:paraId="6C74A1E3" w14:textId="77777777" w:rsidR="005F5B3D" w:rsidRPr="00EC7E92" w:rsidRDefault="00004162" w:rsidP="0030686C">
            <w:pPr>
              <w:rPr>
                <w:sz w:val="20"/>
              </w:rPr>
            </w:pPr>
            <w:r w:rsidRPr="00EC7E92">
              <w:rPr>
                <w:sz w:val="20"/>
              </w:rPr>
              <w:t xml:space="preserve">Sachbearbeiter/-in </w:t>
            </w:r>
          </w:p>
        </w:tc>
        <w:tc>
          <w:tcPr>
            <w:tcW w:w="737" w:type="dxa"/>
            <w:shd w:val="pct12" w:color="auto" w:fill="FFFFFF"/>
          </w:tcPr>
          <w:p w14:paraId="51737168" w14:textId="77777777" w:rsidR="005F5B3D" w:rsidRPr="00EC7E92" w:rsidRDefault="005F5B3D" w:rsidP="0030686C">
            <w:pPr>
              <w:rPr>
                <w:sz w:val="20"/>
              </w:rPr>
            </w:pPr>
          </w:p>
          <w:p w14:paraId="54D28B01" w14:textId="77777777" w:rsidR="005F5B3D" w:rsidRPr="00EC7E92" w:rsidRDefault="007A6D32" w:rsidP="007A6D32">
            <w:pPr>
              <w:rPr>
                <w:sz w:val="20"/>
              </w:rPr>
            </w:pPr>
            <w:r w:rsidRPr="00EC7E92">
              <w:rPr>
                <w:sz w:val="20"/>
              </w:rPr>
              <w:t>0</w:t>
            </w:r>
            <w:r w:rsidR="00A13AD4" w:rsidRPr="00EC7E92">
              <w:rPr>
                <w:sz w:val="20"/>
              </w:rPr>
              <w:t>,</w:t>
            </w:r>
            <w:r w:rsidRPr="00EC7E92">
              <w:rPr>
                <w:sz w:val="20"/>
              </w:rPr>
              <w:t>5</w:t>
            </w:r>
            <w:r w:rsidR="00C50E03" w:rsidRPr="00EC7E92">
              <w:rPr>
                <w:sz w:val="20"/>
              </w:rPr>
              <w:t>0</w:t>
            </w:r>
          </w:p>
        </w:tc>
        <w:tc>
          <w:tcPr>
            <w:tcW w:w="1134" w:type="dxa"/>
          </w:tcPr>
          <w:p w14:paraId="2C2B989B" w14:textId="77777777" w:rsidR="005F5B3D" w:rsidRPr="00EC7E92" w:rsidRDefault="005F5B3D" w:rsidP="0030686C">
            <w:pPr>
              <w:rPr>
                <w:strike/>
                <w:sz w:val="20"/>
              </w:rPr>
            </w:pPr>
          </w:p>
          <w:p w14:paraId="1F8A33B9" w14:textId="77777777" w:rsidR="0057411C" w:rsidRPr="00EC7E92" w:rsidRDefault="0057411C" w:rsidP="0030686C">
            <w:pPr>
              <w:rPr>
                <w:sz w:val="20"/>
              </w:rPr>
            </w:pPr>
            <w:r w:rsidRPr="00EC7E92">
              <w:rPr>
                <w:sz w:val="20"/>
              </w:rPr>
              <w:t>--</w:t>
            </w:r>
            <w:r w:rsidR="00A70B91" w:rsidRPr="00EC7E92">
              <w:rPr>
                <w:sz w:val="20"/>
              </w:rPr>
              <w:t>-</w:t>
            </w:r>
          </w:p>
        </w:tc>
        <w:tc>
          <w:tcPr>
            <w:tcW w:w="1417" w:type="dxa"/>
          </w:tcPr>
          <w:p w14:paraId="13EF09A4" w14:textId="77777777" w:rsidR="005F5B3D" w:rsidRPr="00EC7E92" w:rsidRDefault="005F5B3D" w:rsidP="0030686C">
            <w:pPr>
              <w:rPr>
                <w:sz w:val="20"/>
              </w:rPr>
            </w:pPr>
          </w:p>
          <w:p w14:paraId="3AD661AE" w14:textId="77777777" w:rsidR="005F5B3D" w:rsidRPr="00EC7E92" w:rsidRDefault="00EC7E92" w:rsidP="0030686C">
            <w:pPr>
              <w:rPr>
                <w:sz w:val="20"/>
              </w:rPr>
            </w:pPr>
            <w:r w:rsidRPr="00EC7E92">
              <w:rPr>
                <w:sz w:val="20"/>
              </w:rPr>
              <w:t>(50.350)</w:t>
            </w:r>
          </w:p>
          <w:p w14:paraId="54518C5A" w14:textId="0C2637AB" w:rsidR="00EC7E92" w:rsidRPr="00EC7E92" w:rsidRDefault="00EC7E92" w:rsidP="0030686C">
            <w:pPr>
              <w:rPr>
                <w:sz w:val="20"/>
              </w:rPr>
            </w:pPr>
            <w:r w:rsidRPr="00EC7E92">
              <w:rPr>
                <w:sz w:val="20"/>
              </w:rPr>
              <w:t>hh-neutral</w:t>
            </w:r>
          </w:p>
        </w:tc>
      </w:tr>
    </w:tbl>
    <w:p w14:paraId="3BCD816E" w14:textId="77777777" w:rsidR="003D7B0B" w:rsidRPr="00EC7E92" w:rsidRDefault="006E0575" w:rsidP="00884D6C">
      <w:pPr>
        <w:pStyle w:val="berschrift1"/>
      </w:pPr>
      <w:r w:rsidRPr="00EC7E92">
        <w:t>1</w:t>
      </w:r>
      <w:r w:rsidR="00884D6C" w:rsidRPr="00EC7E92">
        <w:tab/>
      </w:r>
      <w:r w:rsidR="003D7B0B" w:rsidRPr="00EC7E92">
        <w:t>Antra</w:t>
      </w:r>
      <w:r w:rsidR="003D7B0B" w:rsidRPr="00EC7E92">
        <w:rPr>
          <w:u w:val="none"/>
        </w:rPr>
        <w:t>g</w:t>
      </w:r>
      <w:r w:rsidR="003D7B0B" w:rsidRPr="00EC7E92">
        <w:t>, Stellenausstattun</w:t>
      </w:r>
      <w:r w:rsidR="003D7B0B" w:rsidRPr="00EC7E92">
        <w:rPr>
          <w:u w:val="none"/>
        </w:rPr>
        <w:t>g</w:t>
      </w:r>
    </w:p>
    <w:p w14:paraId="55EB28AF" w14:textId="77777777" w:rsidR="003D7B0B" w:rsidRPr="00EC7E92" w:rsidRDefault="003D7B0B" w:rsidP="00884D6C"/>
    <w:p w14:paraId="3984A59B" w14:textId="77777777" w:rsidR="003D7B0B" w:rsidRPr="00EC7E92" w:rsidRDefault="00990242" w:rsidP="00884D6C">
      <w:r w:rsidRPr="00EC7E92">
        <w:t>Geschaffen</w:t>
      </w:r>
      <w:r w:rsidR="001C7871" w:rsidRPr="00EC7E92">
        <w:t xml:space="preserve"> wird eine </w:t>
      </w:r>
      <w:r w:rsidR="007A6D32" w:rsidRPr="00EC7E92">
        <w:t>0</w:t>
      </w:r>
      <w:r w:rsidRPr="00EC7E92">
        <w:t>,</w:t>
      </w:r>
      <w:r w:rsidR="007A6D32" w:rsidRPr="00EC7E92">
        <w:t>5</w:t>
      </w:r>
      <w:r w:rsidRPr="00EC7E92">
        <w:t>0-</w:t>
      </w:r>
      <w:r w:rsidR="00A13AD4" w:rsidRPr="00EC7E92">
        <w:t xml:space="preserve">Stelle </w:t>
      </w:r>
      <w:r w:rsidR="006C777F" w:rsidRPr="00EC7E92">
        <w:t xml:space="preserve">in Besoldungsgruppe A 11 </w:t>
      </w:r>
      <w:r w:rsidR="00BC085E" w:rsidRPr="00EC7E92">
        <w:t xml:space="preserve">für die Sachbearbeitung </w:t>
      </w:r>
      <w:r w:rsidR="00881E2F" w:rsidRPr="00EC7E92">
        <w:t>nach lebensmittelrechtlichen, tierseuchenrechtlichen und preisangabenrechtlichen Vorschriften</w:t>
      </w:r>
      <w:r w:rsidR="006C777F" w:rsidRPr="00EC7E92">
        <w:t>.</w:t>
      </w:r>
    </w:p>
    <w:p w14:paraId="30D1F198" w14:textId="77777777" w:rsidR="003D7B0B" w:rsidRPr="00EC7E92" w:rsidRDefault="003D7B0B" w:rsidP="00884D6C">
      <w:pPr>
        <w:pStyle w:val="berschrift1"/>
      </w:pPr>
      <w:r w:rsidRPr="00EC7E92">
        <w:t>2</w:t>
      </w:r>
      <w:r w:rsidRPr="00EC7E92">
        <w:tab/>
        <w:t>Schaffun</w:t>
      </w:r>
      <w:r w:rsidRPr="00EC7E92">
        <w:rPr>
          <w:u w:val="none"/>
        </w:rPr>
        <w:t>g</w:t>
      </w:r>
      <w:r w:rsidRPr="00EC7E92">
        <w:t>skriterien</w:t>
      </w:r>
    </w:p>
    <w:p w14:paraId="012E163C" w14:textId="77777777" w:rsidR="0009520F" w:rsidRPr="00EC7E92" w:rsidRDefault="0009520F" w:rsidP="001C7871"/>
    <w:p w14:paraId="6017B03F" w14:textId="77777777" w:rsidR="001C7871" w:rsidRPr="00EC7E92" w:rsidRDefault="0009520F" w:rsidP="001C7871">
      <w:r w:rsidRPr="00EC7E92">
        <w:t>D</w:t>
      </w:r>
      <w:r w:rsidR="00990242" w:rsidRPr="00EC7E92">
        <w:t>ie Kriterien</w:t>
      </w:r>
      <w:r w:rsidR="001C7871" w:rsidRPr="00EC7E92">
        <w:t xml:space="preserve"> </w:t>
      </w:r>
      <w:r w:rsidR="00EC1024" w:rsidRPr="00EC7E92">
        <w:t>„</w:t>
      </w:r>
      <w:r w:rsidR="00990242" w:rsidRPr="00EC7E92">
        <w:t xml:space="preserve">Erfüllung neuer </w:t>
      </w:r>
      <w:r w:rsidR="00263C30" w:rsidRPr="00EC7E92">
        <w:t xml:space="preserve">zwingender </w:t>
      </w:r>
      <w:r w:rsidR="00990242" w:rsidRPr="00EC7E92">
        <w:t>gesetzlicher Vorschriften</w:t>
      </w:r>
      <w:r w:rsidR="00EC1024" w:rsidRPr="00EC7E92">
        <w:t>“</w:t>
      </w:r>
      <w:r w:rsidR="00DF2041" w:rsidRPr="00EC7E92">
        <w:t xml:space="preserve"> </w:t>
      </w:r>
      <w:r w:rsidR="00990242" w:rsidRPr="00EC7E92">
        <w:t xml:space="preserve">und </w:t>
      </w:r>
      <w:r w:rsidR="00EC1024" w:rsidRPr="00EC7E92">
        <w:t>„</w:t>
      </w:r>
      <w:r w:rsidR="0009556C" w:rsidRPr="00EC7E92">
        <w:t xml:space="preserve">erhebliche </w:t>
      </w:r>
      <w:r w:rsidRPr="00EC7E92">
        <w:t>Arbeitsvermehrung</w:t>
      </w:r>
      <w:r w:rsidR="00EC1024" w:rsidRPr="00EC7E92">
        <w:t>“</w:t>
      </w:r>
      <w:r w:rsidRPr="00EC7E92">
        <w:t xml:space="preserve"> werden erfüllt</w:t>
      </w:r>
      <w:r w:rsidR="001C7871" w:rsidRPr="00EC7E92">
        <w:t>.</w:t>
      </w:r>
      <w:r w:rsidR="002F576C" w:rsidRPr="00EC7E92">
        <w:t xml:space="preserve"> Insgesamt konnte ein Bedarf von einer zusätzlichen 0,50-Stelle nachgewiesen werden.</w:t>
      </w:r>
      <w:r w:rsidR="00990242" w:rsidRPr="00EC7E92">
        <w:t xml:space="preserve"> </w:t>
      </w:r>
      <w:r w:rsidR="002F576C" w:rsidRPr="00EC7E92">
        <w:t>D</w:t>
      </w:r>
      <w:r w:rsidR="00990242" w:rsidRPr="00EC7E92">
        <w:t>ie Schaffung</w:t>
      </w:r>
      <w:r w:rsidR="00921164" w:rsidRPr="00EC7E92">
        <w:t xml:space="preserve"> </w:t>
      </w:r>
      <w:r w:rsidR="002F576C" w:rsidRPr="00EC7E92">
        <w:t xml:space="preserve">ist </w:t>
      </w:r>
      <w:r w:rsidR="00921164" w:rsidRPr="00EC7E92">
        <w:t xml:space="preserve">aufgrund </w:t>
      </w:r>
      <w:r w:rsidR="009636B3" w:rsidRPr="00EC7E92">
        <w:t>höherer</w:t>
      </w:r>
      <w:r w:rsidR="00921164" w:rsidRPr="00EC7E92">
        <w:t xml:space="preserve"> </w:t>
      </w:r>
      <w:r w:rsidR="009636B3" w:rsidRPr="00EC7E92">
        <w:t>Bußgeld- und Gebührene</w:t>
      </w:r>
      <w:r w:rsidR="00921164" w:rsidRPr="00EC7E92">
        <w:t>innahmen</w:t>
      </w:r>
      <w:r w:rsidR="00990242" w:rsidRPr="00EC7E92">
        <w:t xml:space="preserve"> haushaltsneutral.</w:t>
      </w:r>
    </w:p>
    <w:p w14:paraId="07D1406D" w14:textId="77777777" w:rsidR="003D7B0B" w:rsidRPr="00EC7E92" w:rsidRDefault="003D7B0B" w:rsidP="00884D6C">
      <w:pPr>
        <w:pStyle w:val="berschrift1"/>
      </w:pPr>
      <w:r w:rsidRPr="00EC7E92">
        <w:t>3</w:t>
      </w:r>
      <w:r w:rsidRPr="00EC7E92">
        <w:tab/>
        <w:t>Bedarf</w:t>
      </w:r>
    </w:p>
    <w:p w14:paraId="01A144E2" w14:textId="77777777" w:rsidR="003D7B0B" w:rsidRPr="00EC7E92" w:rsidRDefault="00884D6C" w:rsidP="00884D6C">
      <w:pPr>
        <w:pStyle w:val="berschrift2"/>
      </w:pPr>
      <w:r w:rsidRPr="00EC7E92">
        <w:t>3.1</w:t>
      </w:r>
      <w:r w:rsidRPr="00EC7E92">
        <w:tab/>
      </w:r>
      <w:r w:rsidR="006E0575" w:rsidRPr="00EC7E92">
        <w:t>Anlass</w:t>
      </w:r>
    </w:p>
    <w:p w14:paraId="22DC36D2" w14:textId="77777777" w:rsidR="00222BE7" w:rsidRPr="00EC7E92" w:rsidRDefault="00222BE7" w:rsidP="00222BE7"/>
    <w:p w14:paraId="752FC9EA" w14:textId="77777777" w:rsidR="00222BE7" w:rsidRPr="00EC7E92" w:rsidRDefault="00222BE7" w:rsidP="00222BE7">
      <w:pPr>
        <w:rPr>
          <w:b/>
        </w:rPr>
      </w:pPr>
      <w:r w:rsidRPr="00EC7E92">
        <w:rPr>
          <w:b/>
        </w:rPr>
        <w:t>Arbeitsvermehrung</w:t>
      </w:r>
    </w:p>
    <w:p w14:paraId="4562011E" w14:textId="77777777" w:rsidR="00990242" w:rsidRPr="00EC7E92" w:rsidRDefault="00990242" w:rsidP="00990242"/>
    <w:p w14:paraId="5BD1BBBB" w14:textId="77777777" w:rsidR="00A95C82" w:rsidRPr="00EC7E92" w:rsidRDefault="00004162" w:rsidP="00A95C82">
      <w:r w:rsidRPr="00EC7E92">
        <w:t>Zu</w:t>
      </w:r>
      <w:r w:rsidR="00A95C82" w:rsidRPr="00EC7E92">
        <w:t xml:space="preserve"> den </w:t>
      </w:r>
      <w:r w:rsidR="0015154D" w:rsidRPr="00EC7E92">
        <w:t>St</w:t>
      </w:r>
      <w:r w:rsidR="00A95C82" w:rsidRPr="00EC7E92">
        <w:t>ellenplä</w:t>
      </w:r>
      <w:r w:rsidR="0015154D" w:rsidRPr="00EC7E92">
        <w:t>n</w:t>
      </w:r>
      <w:r w:rsidR="00A95C82" w:rsidRPr="00EC7E92">
        <w:t>en</w:t>
      </w:r>
      <w:r w:rsidR="0015154D" w:rsidRPr="00EC7E92">
        <w:t xml:space="preserve"> 2016</w:t>
      </w:r>
      <w:r w:rsidR="00921164" w:rsidRPr="00EC7E92">
        <w:t xml:space="preserve"> </w:t>
      </w:r>
      <w:r w:rsidR="00A95C82" w:rsidRPr="00EC7E92">
        <w:t xml:space="preserve">und 2018 </w:t>
      </w:r>
      <w:r w:rsidR="00990242" w:rsidRPr="00EC7E92">
        <w:t xml:space="preserve">hat die Dienststelle im Bereich der Lebensmittelkontrolleure einen Zuwachs </w:t>
      </w:r>
      <w:r w:rsidR="00A95C82" w:rsidRPr="00EC7E92">
        <w:t>von insgesamt 4</w:t>
      </w:r>
      <w:r w:rsidR="0015154D" w:rsidRPr="00EC7E92">
        <w:t xml:space="preserve">,0 Stellen </w:t>
      </w:r>
      <w:r w:rsidR="00990242" w:rsidRPr="00EC7E92">
        <w:t xml:space="preserve">erfahren. </w:t>
      </w:r>
      <w:r w:rsidR="00A95C82" w:rsidRPr="00EC7E92">
        <w:t>Im Bereich der Verwaltung gab es lediglich einen Stellenzuwachs um eine 0,50-Stelle durch den Wegfall eines KW-Vermerks zum Stellenplan 2020.</w:t>
      </w:r>
    </w:p>
    <w:p w14:paraId="181BDAFD" w14:textId="77777777" w:rsidR="005D1251" w:rsidRPr="00EC7E92" w:rsidRDefault="005D1251" w:rsidP="005D1251"/>
    <w:p w14:paraId="7FACDE85" w14:textId="77777777" w:rsidR="000F6DF0" w:rsidRPr="00EC7E92" w:rsidRDefault="000F6DF0" w:rsidP="0026574F">
      <w:r w:rsidRPr="00EC7E92">
        <w:t xml:space="preserve">Der Personalzuwachs bei den Lebensmittelkontrolleuren </w:t>
      </w:r>
      <w:r w:rsidR="009151EF" w:rsidRPr="00EC7E92">
        <w:t>führt</w:t>
      </w:r>
      <w:r w:rsidR="00BB647B" w:rsidRPr="00EC7E92">
        <w:t>e</w:t>
      </w:r>
      <w:r w:rsidR="009151EF" w:rsidRPr="00EC7E92">
        <w:t xml:space="preserve"> zu steigenden Kontroll</w:t>
      </w:r>
      <w:r w:rsidRPr="00EC7E92">
        <w:t xml:space="preserve">zahlen in Betrieben. Auch die Qualität der Betriebskontrollen steigt. Es wird nicht mehr ausschließlich der Schwerpunkt auf hygienische Aspekte gelegt, sondern es werden vollumfängliche Kontrollen durchgeführt, die dann insbesondere auch bauliche Aspekte, Eigenkontrollkonzepte und alle einschlägigen Kennzeichnungsvorschriften beachten. </w:t>
      </w:r>
    </w:p>
    <w:p w14:paraId="25E18084" w14:textId="77777777" w:rsidR="0026574F" w:rsidRPr="00EC7E92" w:rsidRDefault="0026574F" w:rsidP="0026574F">
      <w:r w:rsidRPr="00EC7E92">
        <w:lastRenderedPageBreak/>
        <w:t xml:space="preserve">Im Bereich der Verwaltung resultiert aus diesem </w:t>
      </w:r>
      <w:r w:rsidR="0062421D" w:rsidRPr="00EC7E92">
        <w:t xml:space="preserve">quantitativen und qualitativen </w:t>
      </w:r>
      <w:r w:rsidRPr="00EC7E92">
        <w:t xml:space="preserve">Anstieg der durchgeführten Kontrollen ein enormer Anstieg </w:t>
      </w:r>
      <w:r w:rsidR="00921164" w:rsidRPr="00EC7E92">
        <w:t xml:space="preserve">der Bearbeitungstiefe und </w:t>
      </w:r>
      <w:r w:rsidRPr="00EC7E92">
        <w:t>der Fallzahlen</w:t>
      </w:r>
      <w:r w:rsidR="00921164" w:rsidRPr="00EC7E92">
        <w:t xml:space="preserve"> </w:t>
      </w:r>
      <w:r w:rsidRPr="00EC7E92">
        <w:t>bei Verwaltungsverfahren, Ordnungswidrigkeitsanzeigen, Bußgeldbescheiden und Gebührenbescheiden</w:t>
      </w:r>
      <w:r w:rsidR="00222BE7" w:rsidRPr="00EC7E92">
        <w:t>:</w:t>
      </w:r>
      <w:r w:rsidRPr="00EC7E92">
        <w:t xml:space="preserve"> </w:t>
      </w:r>
    </w:p>
    <w:p w14:paraId="570C0684" w14:textId="77777777" w:rsidR="00F90244" w:rsidRPr="00EC7E92" w:rsidRDefault="00F90244" w:rsidP="0026574F"/>
    <w:tbl>
      <w:tblPr>
        <w:tblW w:w="9370" w:type="dxa"/>
        <w:tblLayout w:type="fixed"/>
        <w:tblCellMar>
          <w:left w:w="70" w:type="dxa"/>
          <w:right w:w="70" w:type="dxa"/>
        </w:tblCellMar>
        <w:tblLook w:val="04A0" w:firstRow="1" w:lastRow="0" w:firstColumn="1" w:lastColumn="0" w:noHBand="0" w:noVBand="1"/>
      </w:tblPr>
      <w:tblGrid>
        <w:gridCol w:w="5098"/>
        <w:gridCol w:w="854"/>
        <w:gridCol w:w="854"/>
        <w:gridCol w:w="855"/>
        <w:gridCol w:w="854"/>
        <w:gridCol w:w="855"/>
      </w:tblGrid>
      <w:tr w:rsidR="00EC7E92" w:rsidRPr="00EC7E92" w14:paraId="6A92B81F" w14:textId="77777777" w:rsidTr="004E01B6">
        <w:trPr>
          <w:trHeight w:val="193"/>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2E97F" w14:textId="77777777" w:rsidR="00990242" w:rsidRPr="00EC7E92" w:rsidRDefault="00990242" w:rsidP="000E1004">
            <w:pPr>
              <w:rPr>
                <w:rFonts w:cs="Arial"/>
                <w:b/>
                <w:bCs/>
                <w:sz w:val="22"/>
                <w:szCs w:val="22"/>
              </w:rPr>
            </w:pPr>
            <w:r w:rsidRPr="00EC7E92">
              <w:rPr>
                <w:rFonts w:cs="Arial"/>
                <w:b/>
                <w:bCs/>
                <w:sz w:val="22"/>
                <w:szCs w:val="22"/>
              </w:rPr>
              <w:t>Anzahl der…</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14:paraId="04A46410" w14:textId="77777777" w:rsidR="00990242" w:rsidRPr="00EC7E92" w:rsidRDefault="00990242" w:rsidP="0053209A">
            <w:pPr>
              <w:jc w:val="right"/>
              <w:rPr>
                <w:rFonts w:cs="Arial"/>
                <w:b/>
                <w:bCs/>
                <w:sz w:val="22"/>
                <w:szCs w:val="22"/>
              </w:rPr>
            </w:pPr>
            <w:r w:rsidRPr="00EC7E92">
              <w:rPr>
                <w:rFonts w:cs="Arial"/>
                <w:b/>
                <w:bCs/>
                <w:sz w:val="22"/>
                <w:szCs w:val="22"/>
              </w:rPr>
              <w:t>2016</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14:paraId="319F72C2" w14:textId="77777777" w:rsidR="00990242" w:rsidRPr="00EC7E92" w:rsidRDefault="00990242" w:rsidP="0053209A">
            <w:pPr>
              <w:jc w:val="right"/>
              <w:rPr>
                <w:rFonts w:cs="Arial"/>
                <w:b/>
                <w:bCs/>
                <w:sz w:val="22"/>
                <w:szCs w:val="22"/>
              </w:rPr>
            </w:pPr>
            <w:r w:rsidRPr="00EC7E92">
              <w:rPr>
                <w:rFonts w:cs="Arial"/>
                <w:b/>
                <w:bCs/>
                <w:sz w:val="22"/>
                <w:szCs w:val="22"/>
              </w:rPr>
              <w:t>2017</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4D02581D" w14:textId="77777777" w:rsidR="00990242" w:rsidRPr="00EC7E92" w:rsidRDefault="00990242" w:rsidP="0053209A">
            <w:pPr>
              <w:jc w:val="right"/>
              <w:rPr>
                <w:rFonts w:cs="Arial"/>
                <w:b/>
                <w:bCs/>
                <w:sz w:val="22"/>
                <w:szCs w:val="22"/>
              </w:rPr>
            </w:pPr>
            <w:r w:rsidRPr="00EC7E92">
              <w:rPr>
                <w:rFonts w:cs="Arial"/>
                <w:b/>
                <w:bCs/>
                <w:sz w:val="22"/>
                <w:szCs w:val="22"/>
              </w:rPr>
              <w:t>2018</w:t>
            </w:r>
          </w:p>
        </w:tc>
        <w:tc>
          <w:tcPr>
            <w:tcW w:w="854" w:type="dxa"/>
            <w:tcBorders>
              <w:top w:val="single" w:sz="4" w:space="0" w:color="auto"/>
              <w:left w:val="nil"/>
              <w:bottom w:val="single" w:sz="4" w:space="0" w:color="auto"/>
              <w:right w:val="single" w:sz="4" w:space="0" w:color="auto"/>
            </w:tcBorders>
          </w:tcPr>
          <w:p w14:paraId="6DFB2FFE" w14:textId="77777777" w:rsidR="00990242" w:rsidRPr="00EC7E92" w:rsidRDefault="00990242" w:rsidP="0053209A">
            <w:pPr>
              <w:jc w:val="right"/>
              <w:rPr>
                <w:rFonts w:cs="Arial"/>
                <w:b/>
                <w:bCs/>
                <w:sz w:val="22"/>
                <w:szCs w:val="22"/>
              </w:rPr>
            </w:pPr>
            <w:r w:rsidRPr="00EC7E92">
              <w:rPr>
                <w:rFonts w:cs="Arial"/>
                <w:b/>
                <w:bCs/>
                <w:sz w:val="22"/>
                <w:szCs w:val="22"/>
              </w:rPr>
              <w:t>2019</w:t>
            </w:r>
          </w:p>
        </w:tc>
        <w:tc>
          <w:tcPr>
            <w:tcW w:w="855" w:type="dxa"/>
            <w:tcBorders>
              <w:top w:val="single" w:sz="4" w:space="0" w:color="auto"/>
              <w:left w:val="nil"/>
              <w:bottom w:val="single" w:sz="4" w:space="0" w:color="auto"/>
              <w:right w:val="single" w:sz="4" w:space="0" w:color="auto"/>
            </w:tcBorders>
          </w:tcPr>
          <w:p w14:paraId="586D0CD9" w14:textId="77777777" w:rsidR="00990242" w:rsidRPr="00EC7E92" w:rsidRDefault="00990242" w:rsidP="0053209A">
            <w:pPr>
              <w:jc w:val="right"/>
              <w:rPr>
                <w:rFonts w:cs="Arial"/>
                <w:b/>
                <w:bCs/>
                <w:sz w:val="22"/>
                <w:szCs w:val="22"/>
              </w:rPr>
            </w:pPr>
            <w:r w:rsidRPr="00EC7E92">
              <w:rPr>
                <w:rFonts w:cs="Arial"/>
                <w:b/>
                <w:bCs/>
                <w:sz w:val="22"/>
                <w:szCs w:val="22"/>
              </w:rPr>
              <w:t>2020</w:t>
            </w:r>
          </w:p>
        </w:tc>
      </w:tr>
      <w:tr w:rsidR="00EC7E92" w:rsidRPr="00EC7E92" w14:paraId="497F9A21" w14:textId="77777777" w:rsidTr="004E01B6">
        <w:trPr>
          <w:trHeight w:val="282"/>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19AE6E8E" w14:textId="77777777" w:rsidR="00990242" w:rsidRPr="00EC7E92" w:rsidRDefault="00990242" w:rsidP="004A73FB">
            <w:pPr>
              <w:rPr>
                <w:rFonts w:cs="Arial"/>
                <w:strike/>
                <w:sz w:val="22"/>
                <w:szCs w:val="22"/>
              </w:rPr>
            </w:pPr>
            <w:r w:rsidRPr="00EC7E92">
              <w:rPr>
                <w:rFonts w:cs="Arial"/>
                <w:sz w:val="22"/>
                <w:szCs w:val="22"/>
              </w:rPr>
              <w:t xml:space="preserve">Anordnungen </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409A3" w14:textId="77777777" w:rsidR="00990242" w:rsidRPr="00EC7E92" w:rsidRDefault="004A73FB" w:rsidP="0053209A">
            <w:pPr>
              <w:keepLines/>
              <w:pageBreakBefore/>
              <w:ind w:left="709" w:hanging="709"/>
              <w:jc w:val="right"/>
              <w:outlineLvl w:val="0"/>
              <w:rPr>
                <w:rFonts w:cs="Arial"/>
                <w:sz w:val="22"/>
                <w:szCs w:val="22"/>
              </w:rPr>
            </w:pPr>
            <w:r w:rsidRPr="00EC7E92">
              <w:rPr>
                <w:rFonts w:cs="Arial"/>
                <w:sz w:val="22"/>
                <w:szCs w:val="22"/>
              </w:rPr>
              <w:t>145</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29A12" w14:textId="77777777" w:rsidR="00990242" w:rsidRPr="00EC7E92" w:rsidRDefault="004A73FB" w:rsidP="0053209A">
            <w:pPr>
              <w:keepLines/>
              <w:pageBreakBefore/>
              <w:ind w:left="709" w:hanging="709"/>
              <w:jc w:val="right"/>
              <w:outlineLvl w:val="0"/>
              <w:rPr>
                <w:rFonts w:cs="Arial"/>
                <w:sz w:val="22"/>
                <w:szCs w:val="22"/>
              </w:rPr>
            </w:pPr>
            <w:r w:rsidRPr="00EC7E92">
              <w:rPr>
                <w:rFonts w:cs="Arial"/>
                <w:sz w:val="22"/>
                <w:szCs w:val="22"/>
              </w:rPr>
              <w:t>131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D4E94" w14:textId="77777777" w:rsidR="00990242" w:rsidRPr="00EC7E92" w:rsidRDefault="004A73FB" w:rsidP="0053209A">
            <w:pPr>
              <w:keepLines/>
              <w:pageBreakBefore/>
              <w:ind w:left="709" w:hanging="709"/>
              <w:jc w:val="right"/>
              <w:outlineLvl w:val="0"/>
              <w:rPr>
                <w:rFonts w:cs="Arial"/>
                <w:sz w:val="22"/>
                <w:szCs w:val="22"/>
              </w:rPr>
            </w:pPr>
            <w:r w:rsidRPr="00EC7E92">
              <w:rPr>
                <w:rFonts w:cs="Arial"/>
                <w:sz w:val="22"/>
                <w:szCs w:val="22"/>
              </w:rPr>
              <w:t>203</w:t>
            </w:r>
          </w:p>
        </w:tc>
        <w:tc>
          <w:tcPr>
            <w:tcW w:w="854" w:type="dxa"/>
            <w:tcBorders>
              <w:top w:val="nil"/>
              <w:left w:val="single" w:sz="4" w:space="0" w:color="auto"/>
              <w:bottom w:val="single" w:sz="4" w:space="0" w:color="auto"/>
              <w:right w:val="single" w:sz="4" w:space="0" w:color="auto"/>
            </w:tcBorders>
            <w:vAlign w:val="center"/>
          </w:tcPr>
          <w:p w14:paraId="379C336C" w14:textId="77777777" w:rsidR="00990242" w:rsidRPr="00EC7E92" w:rsidRDefault="004A73FB" w:rsidP="0053209A">
            <w:pPr>
              <w:keepLines/>
              <w:pageBreakBefore/>
              <w:ind w:left="709" w:hanging="709"/>
              <w:jc w:val="right"/>
              <w:rPr>
                <w:rFonts w:cs="Arial"/>
                <w:sz w:val="22"/>
                <w:szCs w:val="22"/>
              </w:rPr>
            </w:pPr>
            <w:r w:rsidRPr="00EC7E92">
              <w:rPr>
                <w:rFonts w:cs="Arial"/>
                <w:sz w:val="22"/>
                <w:szCs w:val="22"/>
              </w:rPr>
              <w:t>164</w:t>
            </w:r>
          </w:p>
        </w:tc>
        <w:tc>
          <w:tcPr>
            <w:tcW w:w="855" w:type="dxa"/>
            <w:tcBorders>
              <w:top w:val="nil"/>
              <w:left w:val="nil"/>
              <w:bottom w:val="single" w:sz="4" w:space="0" w:color="auto"/>
              <w:right w:val="single" w:sz="4" w:space="0" w:color="auto"/>
            </w:tcBorders>
            <w:vAlign w:val="center"/>
          </w:tcPr>
          <w:p w14:paraId="7E6D7DCA" w14:textId="77777777" w:rsidR="00990242" w:rsidRPr="00EC7E92" w:rsidRDefault="004A73FB" w:rsidP="0053209A">
            <w:pPr>
              <w:keepLines/>
              <w:pageBreakBefore/>
              <w:jc w:val="right"/>
              <w:rPr>
                <w:rFonts w:cs="Arial"/>
                <w:sz w:val="22"/>
                <w:szCs w:val="22"/>
              </w:rPr>
            </w:pPr>
            <w:r w:rsidRPr="00EC7E92">
              <w:rPr>
                <w:rFonts w:cs="Arial"/>
                <w:sz w:val="22"/>
                <w:szCs w:val="22"/>
              </w:rPr>
              <w:t>154</w:t>
            </w:r>
          </w:p>
        </w:tc>
      </w:tr>
      <w:tr w:rsidR="00EC7E92" w:rsidRPr="00EC7E92" w14:paraId="03BBE204" w14:textId="77777777" w:rsidTr="004E01B6">
        <w:trPr>
          <w:trHeight w:val="182"/>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3F48C59F" w14:textId="77777777" w:rsidR="004A73FB" w:rsidRPr="00EC7E92" w:rsidRDefault="004A73FB" w:rsidP="000E1004">
            <w:pPr>
              <w:rPr>
                <w:rFonts w:cs="Arial"/>
                <w:sz w:val="22"/>
                <w:szCs w:val="22"/>
              </w:rPr>
            </w:pPr>
            <w:r w:rsidRPr="00EC7E92">
              <w:rPr>
                <w:rFonts w:cs="Arial"/>
                <w:sz w:val="22"/>
                <w:szCs w:val="22"/>
              </w:rPr>
              <w:t>Zwangsgeldfestsetzungen</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2323C" w14:textId="77777777" w:rsidR="004A73FB" w:rsidRPr="00EC7E92" w:rsidRDefault="004A73FB" w:rsidP="0053209A">
            <w:pPr>
              <w:jc w:val="right"/>
              <w:outlineLvl w:val="0"/>
              <w:rPr>
                <w:rFonts w:cs="Arial"/>
                <w:sz w:val="22"/>
                <w:szCs w:val="22"/>
              </w:rPr>
            </w:pPr>
            <w:r w:rsidRPr="00EC7E92">
              <w:rPr>
                <w:rFonts w:cs="Arial"/>
                <w:sz w:val="22"/>
                <w:szCs w:val="22"/>
              </w:rPr>
              <w:t>71</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E20F5" w14:textId="77777777" w:rsidR="004A73FB" w:rsidRPr="00EC7E92" w:rsidRDefault="004A73FB" w:rsidP="0053209A">
            <w:pPr>
              <w:jc w:val="right"/>
              <w:outlineLvl w:val="0"/>
              <w:rPr>
                <w:rFonts w:cs="Arial"/>
                <w:sz w:val="22"/>
                <w:szCs w:val="22"/>
              </w:rPr>
            </w:pPr>
            <w:r w:rsidRPr="00EC7E92">
              <w:rPr>
                <w:rFonts w:cs="Arial"/>
                <w:sz w:val="22"/>
                <w:szCs w:val="22"/>
              </w:rPr>
              <w:t>85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325D5" w14:textId="77777777" w:rsidR="004A73FB" w:rsidRPr="00EC7E92" w:rsidRDefault="004A73FB" w:rsidP="0053209A">
            <w:pPr>
              <w:jc w:val="right"/>
              <w:outlineLvl w:val="0"/>
              <w:rPr>
                <w:rFonts w:cs="Arial"/>
                <w:sz w:val="22"/>
                <w:szCs w:val="22"/>
              </w:rPr>
            </w:pPr>
            <w:r w:rsidRPr="00EC7E92">
              <w:rPr>
                <w:rFonts w:cs="Arial"/>
                <w:sz w:val="22"/>
                <w:szCs w:val="22"/>
              </w:rPr>
              <w:t>39</w:t>
            </w:r>
          </w:p>
        </w:tc>
        <w:tc>
          <w:tcPr>
            <w:tcW w:w="854" w:type="dxa"/>
            <w:tcBorders>
              <w:top w:val="nil"/>
              <w:left w:val="single" w:sz="4" w:space="0" w:color="auto"/>
              <w:bottom w:val="single" w:sz="4" w:space="0" w:color="auto"/>
              <w:right w:val="single" w:sz="4" w:space="0" w:color="auto"/>
            </w:tcBorders>
            <w:vAlign w:val="center"/>
          </w:tcPr>
          <w:p w14:paraId="44EF1327" w14:textId="77777777" w:rsidR="004A73FB" w:rsidRPr="00EC7E92" w:rsidRDefault="004A73FB" w:rsidP="0053209A">
            <w:pPr>
              <w:jc w:val="right"/>
              <w:rPr>
                <w:rFonts w:cs="Arial"/>
                <w:sz w:val="22"/>
                <w:szCs w:val="22"/>
              </w:rPr>
            </w:pPr>
            <w:r w:rsidRPr="00EC7E92">
              <w:rPr>
                <w:rFonts w:cs="Arial"/>
                <w:sz w:val="22"/>
                <w:szCs w:val="22"/>
              </w:rPr>
              <w:t>79</w:t>
            </w:r>
          </w:p>
        </w:tc>
        <w:tc>
          <w:tcPr>
            <w:tcW w:w="855" w:type="dxa"/>
            <w:tcBorders>
              <w:top w:val="nil"/>
              <w:left w:val="nil"/>
              <w:bottom w:val="single" w:sz="4" w:space="0" w:color="auto"/>
              <w:right w:val="single" w:sz="4" w:space="0" w:color="auto"/>
            </w:tcBorders>
            <w:vAlign w:val="center"/>
          </w:tcPr>
          <w:p w14:paraId="22BE908B" w14:textId="77777777" w:rsidR="004A73FB" w:rsidRPr="00EC7E92" w:rsidRDefault="004A73FB" w:rsidP="0053209A">
            <w:pPr>
              <w:jc w:val="right"/>
              <w:rPr>
                <w:rFonts w:cs="Arial"/>
                <w:sz w:val="22"/>
                <w:szCs w:val="22"/>
              </w:rPr>
            </w:pPr>
            <w:r w:rsidRPr="00EC7E92">
              <w:rPr>
                <w:rFonts w:cs="Arial"/>
                <w:sz w:val="22"/>
                <w:szCs w:val="22"/>
              </w:rPr>
              <w:t>45</w:t>
            </w:r>
          </w:p>
        </w:tc>
      </w:tr>
      <w:tr w:rsidR="00EC7E92" w:rsidRPr="00EC7E92" w14:paraId="47B33F87" w14:textId="77777777" w:rsidTr="004E01B6">
        <w:trPr>
          <w:trHeight w:val="182"/>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59DA6BCC" w14:textId="77777777" w:rsidR="00193A20" w:rsidRPr="00EC7E92" w:rsidRDefault="00193A20" w:rsidP="000E1004">
            <w:pPr>
              <w:rPr>
                <w:rFonts w:cs="Arial"/>
                <w:sz w:val="22"/>
                <w:szCs w:val="22"/>
              </w:rPr>
            </w:pPr>
            <w:r w:rsidRPr="00EC7E92">
              <w:rPr>
                <w:rFonts w:cs="Arial"/>
                <w:sz w:val="22"/>
                <w:szCs w:val="22"/>
              </w:rPr>
              <w:t>Gebührenbescheide</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661BA" w14:textId="77777777" w:rsidR="00193A20" w:rsidRPr="00EC7E92" w:rsidRDefault="00193A20" w:rsidP="0053209A">
            <w:pPr>
              <w:jc w:val="right"/>
              <w:outlineLvl w:val="0"/>
              <w:rPr>
                <w:rFonts w:cs="Arial"/>
                <w:sz w:val="22"/>
                <w:szCs w:val="22"/>
              </w:rPr>
            </w:pPr>
            <w:r w:rsidRPr="00EC7E92">
              <w:rPr>
                <w:rFonts w:cs="Arial"/>
                <w:sz w:val="22"/>
                <w:szCs w:val="22"/>
              </w:rPr>
              <w:t>722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FF6A3" w14:textId="77777777" w:rsidR="00193A20" w:rsidRPr="00EC7E92" w:rsidRDefault="00193A20" w:rsidP="0053209A">
            <w:pPr>
              <w:jc w:val="right"/>
              <w:outlineLvl w:val="0"/>
              <w:rPr>
                <w:rFonts w:cs="Arial"/>
                <w:sz w:val="22"/>
                <w:szCs w:val="22"/>
              </w:rPr>
            </w:pPr>
            <w:r w:rsidRPr="00EC7E92">
              <w:rPr>
                <w:rFonts w:cs="Arial"/>
                <w:sz w:val="22"/>
                <w:szCs w:val="22"/>
              </w:rPr>
              <w:t>1.086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58B6F" w14:textId="77777777" w:rsidR="00193A20" w:rsidRPr="00EC7E92" w:rsidRDefault="00193A20" w:rsidP="00193A20">
            <w:pPr>
              <w:jc w:val="right"/>
              <w:outlineLvl w:val="0"/>
              <w:rPr>
                <w:rFonts w:cs="Arial"/>
                <w:sz w:val="22"/>
                <w:szCs w:val="22"/>
              </w:rPr>
            </w:pPr>
            <w:r w:rsidRPr="00EC7E92">
              <w:rPr>
                <w:rFonts w:cs="Arial"/>
                <w:sz w:val="22"/>
                <w:szCs w:val="22"/>
              </w:rPr>
              <w:t>1.058</w:t>
            </w:r>
          </w:p>
        </w:tc>
        <w:tc>
          <w:tcPr>
            <w:tcW w:w="854" w:type="dxa"/>
            <w:tcBorders>
              <w:top w:val="nil"/>
              <w:left w:val="single" w:sz="4" w:space="0" w:color="auto"/>
              <w:bottom w:val="single" w:sz="4" w:space="0" w:color="auto"/>
              <w:right w:val="single" w:sz="4" w:space="0" w:color="auto"/>
            </w:tcBorders>
            <w:vAlign w:val="center"/>
          </w:tcPr>
          <w:p w14:paraId="2EA2C7FD" w14:textId="77777777" w:rsidR="00193A20" w:rsidRPr="00EC7E92" w:rsidRDefault="00193A20" w:rsidP="0053209A">
            <w:pPr>
              <w:jc w:val="right"/>
              <w:rPr>
                <w:rFonts w:cs="Arial"/>
                <w:sz w:val="22"/>
                <w:szCs w:val="22"/>
              </w:rPr>
            </w:pPr>
            <w:r w:rsidRPr="00EC7E92">
              <w:rPr>
                <w:rFonts w:cs="Arial"/>
                <w:sz w:val="22"/>
                <w:szCs w:val="22"/>
              </w:rPr>
              <w:t>1.002</w:t>
            </w:r>
          </w:p>
        </w:tc>
        <w:tc>
          <w:tcPr>
            <w:tcW w:w="855" w:type="dxa"/>
            <w:tcBorders>
              <w:top w:val="nil"/>
              <w:left w:val="nil"/>
              <w:bottom w:val="single" w:sz="4" w:space="0" w:color="auto"/>
              <w:right w:val="single" w:sz="4" w:space="0" w:color="auto"/>
            </w:tcBorders>
            <w:vAlign w:val="center"/>
          </w:tcPr>
          <w:p w14:paraId="35DF0443" w14:textId="77777777" w:rsidR="00193A20" w:rsidRPr="00EC7E92" w:rsidRDefault="00193A20" w:rsidP="0053209A">
            <w:pPr>
              <w:jc w:val="right"/>
              <w:rPr>
                <w:rFonts w:cs="Arial"/>
                <w:sz w:val="22"/>
                <w:szCs w:val="22"/>
              </w:rPr>
            </w:pPr>
            <w:r w:rsidRPr="00EC7E92">
              <w:rPr>
                <w:rFonts w:cs="Arial"/>
                <w:sz w:val="22"/>
                <w:szCs w:val="22"/>
              </w:rPr>
              <w:t>922</w:t>
            </w:r>
          </w:p>
        </w:tc>
      </w:tr>
      <w:tr w:rsidR="00EC7E92" w:rsidRPr="00EC7E92" w14:paraId="681312A3" w14:textId="77777777" w:rsidTr="004E01B6">
        <w:trPr>
          <w:trHeight w:val="182"/>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4298F8EE" w14:textId="77777777" w:rsidR="00193A20" w:rsidRPr="00EC7E92" w:rsidRDefault="00193A20" w:rsidP="00193A20">
            <w:pPr>
              <w:rPr>
                <w:rFonts w:cs="Arial"/>
                <w:sz w:val="22"/>
                <w:szCs w:val="22"/>
              </w:rPr>
            </w:pPr>
            <w:r w:rsidRPr="00EC7E92">
              <w:rPr>
                <w:rFonts w:cs="Arial"/>
                <w:sz w:val="22"/>
                <w:szCs w:val="22"/>
              </w:rPr>
              <w:t>Bußgeldbescheide</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2A8F8" w14:textId="77777777" w:rsidR="00193A20" w:rsidRPr="00EC7E92" w:rsidRDefault="00193A20" w:rsidP="00193A20">
            <w:pPr>
              <w:jc w:val="right"/>
              <w:outlineLvl w:val="0"/>
              <w:rPr>
                <w:rFonts w:cs="Arial"/>
                <w:sz w:val="22"/>
                <w:szCs w:val="22"/>
              </w:rPr>
            </w:pPr>
            <w:r w:rsidRPr="00EC7E92">
              <w:rPr>
                <w:rFonts w:cs="Arial"/>
                <w:sz w:val="22"/>
                <w:szCs w:val="22"/>
              </w:rPr>
              <w:t>290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8D1C9" w14:textId="77777777" w:rsidR="00193A20" w:rsidRPr="00EC7E92" w:rsidRDefault="00193A20" w:rsidP="00193A20">
            <w:pPr>
              <w:jc w:val="right"/>
              <w:outlineLvl w:val="0"/>
              <w:rPr>
                <w:rFonts w:cs="Arial"/>
                <w:sz w:val="22"/>
                <w:szCs w:val="22"/>
              </w:rPr>
            </w:pPr>
            <w:r w:rsidRPr="00EC7E92">
              <w:rPr>
                <w:rFonts w:cs="Arial"/>
                <w:sz w:val="22"/>
                <w:szCs w:val="22"/>
              </w:rPr>
              <w:t>208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505DB" w14:textId="77777777" w:rsidR="00193A20" w:rsidRPr="00EC7E92" w:rsidRDefault="00193A20" w:rsidP="00193A20">
            <w:pPr>
              <w:jc w:val="right"/>
              <w:outlineLvl w:val="0"/>
              <w:rPr>
                <w:rFonts w:cs="Arial"/>
                <w:sz w:val="22"/>
                <w:szCs w:val="22"/>
              </w:rPr>
            </w:pPr>
            <w:r w:rsidRPr="00EC7E92">
              <w:rPr>
                <w:rFonts w:cs="Arial"/>
                <w:sz w:val="22"/>
                <w:szCs w:val="22"/>
              </w:rPr>
              <w:t>314</w:t>
            </w:r>
          </w:p>
        </w:tc>
        <w:tc>
          <w:tcPr>
            <w:tcW w:w="854" w:type="dxa"/>
            <w:tcBorders>
              <w:top w:val="nil"/>
              <w:left w:val="single" w:sz="4" w:space="0" w:color="auto"/>
              <w:bottom w:val="single" w:sz="4" w:space="0" w:color="auto"/>
              <w:right w:val="single" w:sz="4" w:space="0" w:color="auto"/>
            </w:tcBorders>
            <w:vAlign w:val="center"/>
          </w:tcPr>
          <w:p w14:paraId="04FE6EEA" w14:textId="77777777" w:rsidR="00193A20" w:rsidRPr="00EC7E92" w:rsidRDefault="00193A20" w:rsidP="00193A20">
            <w:pPr>
              <w:jc w:val="right"/>
              <w:rPr>
                <w:rFonts w:cs="Arial"/>
                <w:sz w:val="22"/>
                <w:szCs w:val="22"/>
              </w:rPr>
            </w:pPr>
            <w:r w:rsidRPr="00EC7E92">
              <w:rPr>
                <w:rFonts w:cs="Arial"/>
                <w:sz w:val="22"/>
                <w:szCs w:val="22"/>
              </w:rPr>
              <w:t>341</w:t>
            </w:r>
          </w:p>
        </w:tc>
        <w:tc>
          <w:tcPr>
            <w:tcW w:w="855" w:type="dxa"/>
            <w:tcBorders>
              <w:top w:val="nil"/>
              <w:left w:val="nil"/>
              <w:bottom w:val="single" w:sz="4" w:space="0" w:color="auto"/>
              <w:right w:val="single" w:sz="4" w:space="0" w:color="auto"/>
            </w:tcBorders>
            <w:vAlign w:val="center"/>
          </w:tcPr>
          <w:p w14:paraId="2FF1BE02" w14:textId="77777777" w:rsidR="00193A20" w:rsidRPr="00EC7E92" w:rsidRDefault="00193A20" w:rsidP="00193A20">
            <w:pPr>
              <w:jc w:val="right"/>
              <w:rPr>
                <w:rFonts w:cs="Arial"/>
                <w:sz w:val="22"/>
                <w:szCs w:val="22"/>
              </w:rPr>
            </w:pPr>
            <w:r w:rsidRPr="00EC7E92">
              <w:rPr>
                <w:rFonts w:cs="Arial"/>
                <w:sz w:val="22"/>
                <w:szCs w:val="22"/>
              </w:rPr>
              <w:t>334</w:t>
            </w:r>
          </w:p>
        </w:tc>
      </w:tr>
      <w:tr w:rsidR="00193A20" w:rsidRPr="00EC7E92" w14:paraId="4ADA46CC" w14:textId="77777777" w:rsidTr="004E01B6">
        <w:trPr>
          <w:trHeight w:val="182"/>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3EBEF518" w14:textId="77777777" w:rsidR="00193A20" w:rsidRPr="00EC7E92" w:rsidRDefault="00193A20" w:rsidP="00193A20">
            <w:pPr>
              <w:rPr>
                <w:rFonts w:cs="Arial"/>
                <w:sz w:val="22"/>
                <w:szCs w:val="22"/>
              </w:rPr>
            </w:pPr>
            <w:r w:rsidRPr="00EC7E92">
              <w:rPr>
                <w:rFonts w:cs="Arial"/>
                <w:sz w:val="22"/>
                <w:szCs w:val="22"/>
              </w:rPr>
              <w:t>Widersprüche und Einsprüche</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D798D" w14:textId="77777777" w:rsidR="00193A20" w:rsidRPr="00EC7E92" w:rsidRDefault="00193A20" w:rsidP="00193A20">
            <w:pPr>
              <w:jc w:val="right"/>
              <w:outlineLvl w:val="0"/>
              <w:rPr>
                <w:rFonts w:cs="Arial"/>
                <w:sz w:val="22"/>
                <w:szCs w:val="22"/>
              </w:rPr>
            </w:pPr>
            <w:r w:rsidRPr="00EC7E92">
              <w:rPr>
                <w:rFonts w:cs="Arial"/>
                <w:sz w:val="22"/>
                <w:szCs w:val="22"/>
              </w:rPr>
              <w:t>20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CFC46" w14:textId="77777777" w:rsidR="00193A20" w:rsidRPr="00EC7E92" w:rsidRDefault="00193A20" w:rsidP="00193A20">
            <w:pPr>
              <w:jc w:val="right"/>
              <w:outlineLvl w:val="0"/>
              <w:rPr>
                <w:rFonts w:cs="Arial"/>
                <w:sz w:val="22"/>
                <w:szCs w:val="22"/>
              </w:rPr>
            </w:pPr>
            <w:r w:rsidRPr="00EC7E92">
              <w:rPr>
                <w:rFonts w:cs="Arial"/>
                <w:sz w:val="22"/>
                <w:szCs w:val="22"/>
              </w:rPr>
              <w:t>13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6F267" w14:textId="77777777" w:rsidR="00193A20" w:rsidRPr="00EC7E92" w:rsidRDefault="00193A20" w:rsidP="00193A20">
            <w:pPr>
              <w:jc w:val="right"/>
              <w:outlineLvl w:val="0"/>
              <w:rPr>
                <w:rFonts w:cs="Arial"/>
                <w:sz w:val="22"/>
                <w:szCs w:val="22"/>
              </w:rPr>
            </w:pPr>
            <w:r w:rsidRPr="00EC7E92">
              <w:rPr>
                <w:rFonts w:cs="Arial"/>
                <w:sz w:val="22"/>
                <w:szCs w:val="22"/>
              </w:rPr>
              <w:t>30</w:t>
            </w:r>
          </w:p>
        </w:tc>
        <w:tc>
          <w:tcPr>
            <w:tcW w:w="854" w:type="dxa"/>
            <w:tcBorders>
              <w:top w:val="nil"/>
              <w:left w:val="single" w:sz="4" w:space="0" w:color="auto"/>
              <w:bottom w:val="single" w:sz="4" w:space="0" w:color="auto"/>
              <w:right w:val="single" w:sz="4" w:space="0" w:color="auto"/>
            </w:tcBorders>
            <w:vAlign w:val="center"/>
          </w:tcPr>
          <w:p w14:paraId="0D2E45B1" w14:textId="77777777" w:rsidR="00193A20" w:rsidRPr="00EC7E92" w:rsidRDefault="00671A18" w:rsidP="00671A18">
            <w:pPr>
              <w:jc w:val="right"/>
              <w:rPr>
                <w:rFonts w:cs="Arial"/>
                <w:sz w:val="22"/>
                <w:szCs w:val="22"/>
              </w:rPr>
            </w:pPr>
            <w:r w:rsidRPr="00EC7E92">
              <w:rPr>
                <w:rFonts w:cs="Arial"/>
                <w:sz w:val="22"/>
                <w:szCs w:val="22"/>
              </w:rPr>
              <w:t>17</w:t>
            </w:r>
          </w:p>
        </w:tc>
        <w:tc>
          <w:tcPr>
            <w:tcW w:w="855" w:type="dxa"/>
            <w:tcBorders>
              <w:top w:val="nil"/>
              <w:left w:val="nil"/>
              <w:bottom w:val="single" w:sz="4" w:space="0" w:color="auto"/>
              <w:right w:val="single" w:sz="4" w:space="0" w:color="auto"/>
            </w:tcBorders>
            <w:vAlign w:val="center"/>
          </w:tcPr>
          <w:p w14:paraId="43345CD6" w14:textId="77777777" w:rsidR="00193A20" w:rsidRPr="00EC7E92" w:rsidRDefault="00671A18" w:rsidP="00671A18">
            <w:pPr>
              <w:jc w:val="right"/>
              <w:rPr>
                <w:rFonts w:cs="Arial"/>
                <w:sz w:val="22"/>
                <w:szCs w:val="22"/>
              </w:rPr>
            </w:pPr>
            <w:r w:rsidRPr="00EC7E92">
              <w:rPr>
                <w:rFonts w:cs="Arial"/>
                <w:sz w:val="22"/>
                <w:szCs w:val="22"/>
              </w:rPr>
              <w:t>40</w:t>
            </w:r>
          </w:p>
        </w:tc>
      </w:tr>
    </w:tbl>
    <w:p w14:paraId="32DADDC5" w14:textId="77777777" w:rsidR="00193A20" w:rsidRPr="00EC7E92" w:rsidRDefault="00193A20" w:rsidP="0026574F">
      <w:pPr>
        <w:rPr>
          <w:strike/>
        </w:rPr>
      </w:pPr>
    </w:p>
    <w:p w14:paraId="117AAA5B" w14:textId="77777777" w:rsidR="00600AC1" w:rsidRPr="00EC7E92" w:rsidRDefault="00671A18" w:rsidP="0026574F">
      <w:proofErr w:type="spellStart"/>
      <w:r w:rsidRPr="00EC7E92">
        <w:t>Coronabedingt</w:t>
      </w:r>
      <w:proofErr w:type="spellEnd"/>
      <w:r w:rsidRPr="00EC7E92">
        <w:t xml:space="preserve"> ist</w:t>
      </w:r>
      <w:r w:rsidR="004A4448" w:rsidRPr="00EC7E92">
        <w:t xml:space="preserve"> </w:t>
      </w:r>
      <w:r w:rsidRPr="00EC7E92">
        <w:t xml:space="preserve">insbesondere </w:t>
      </w:r>
      <w:r w:rsidR="004A4448" w:rsidRPr="00EC7E92">
        <w:t xml:space="preserve">die Zahl der </w:t>
      </w:r>
      <w:r w:rsidRPr="00EC7E92">
        <w:t>Zwangsgeldfestsetzungen</w:t>
      </w:r>
      <w:r w:rsidR="004A4448" w:rsidRPr="00EC7E92">
        <w:t xml:space="preserve"> </w:t>
      </w:r>
      <w:r w:rsidR="00BF53BF" w:rsidRPr="00EC7E92">
        <w:t xml:space="preserve">im Jahr 2020 </w:t>
      </w:r>
      <w:r w:rsidRPr="00EC7E92">
        <w:t>stark rückläufig</w:t>
      </w:r>
      <w:r w:rsidR="00640E53" w:rsidRPr="00EC7E92">
        <w:t xml:space="preserve">. </w:t>
      </w:r>
      <w:r w:rsidRPr="00EC7E92">
        <w:t>Daher bleibt die Zahl aus 2020 für die Bemessung des Mehrbedarfs bei dieser Teilaufgabe unberücksichtigt.</w:t>
      </w:r>
    </w:p>
    <w:p w14:paraId="29E62C18" w14:textId="77777777" w:rsidR="005D1251" w:rsidRPr="00EC7E92" w:rsidRDefault="005D1251" w:rsidP="0026574F">
      <w:pPr>
        <w:rPr>
          <w:rFonts w:ascii="Helv" w:hAnsi="Helv" w:cs="Helv"/>
        </w:rPr>
      </w:pPr>
    </w:p>
    <w:p w14:paraId="7E364FAF" w14:textId="77777777" w:rsidR="0057411C" w:rsidRPr="00EC7E92" w:rsidRDefault="005D1251" w:rsidP="0026574F">
      <w:pPr>
        <w:rPr>
          <w:rFonts w:ascii="Helv" w:hAnsi="Helv" w:cs="Helv"/>
          <w:b/>
        </w:rPr>
      </w:pPr>
      <w:r w:rsidRPr="00EC7E92">
        <w:rPr>
          <w:rFonts w:ascii="Helv" w:hAnsi="Helv" w:cs="Helv"/>
          <w:b/>
        </w:rPr>
        <w:t>Neufassung des VIG</w:t>
      </w:r>
    </w:p>
    <w:p w14:paraId="049BEAE8" w14:textId="77777777" w:rsidR="005D1251" w:rsidRPr="00EC7E92" w:rsidRDefault="005D1251" w:rsidP="0026574F"/>
    <w:p w14:paraId="6C8F8358" w14:textId="77777777" w:rsidR="00E00B5C" w:rsidRPr="00EC7E92" w:rsidRDefault="00F2641C" w:rsidP="00E00B5C">
      <w:pPr>
        <w:autoSpaceDE w:val="0"/>
        <w:autoSpaceDN w:val="0"/>
        <w:adjustRightInd w:val="0"/>
        <w:rPr>
          <w:rFonts w:ascii="Helv" w:hAnsi="Helv" w:cs="Helv"/>
        </w:rPr>
      </w:pPr>
      <w:r w:rsidRPr="00EC7E92">
        <w:rPr>
          <w:rFonts w:ascii="Helv" w:hAnsi="Helv" w:cs="Helv"/>
        </w:rPr>
        <w:t xml:space="preserve">Die Neufassung des </w:t>
      </w:r>
      <w:r w:rsidR="00004162" w:rsidRPr="00EC7E92">
        <w:rPr>
          <w:rFonts w:ascii="Helv" w:hAnsi="Helv" w:cs="Helv"/>
          <w:b/>
        </w:rPr>
        <w:t>Verbraucher-Informationsgesetz</w:t>
      </w:r>
      <w:r w:rsidRPr="00EC7E92">
        <w:rPr>
          <w:rFonts w:ascii="Helv" w:hAnsi="Helv" w:cs="Helv"/>
          <w:b/>
        </w:rPr>
        <w:t xml:space="preserve"> (VIG</w:t>
      </w:r>
      <w:r w:rsidR="00004162" w:rsidRPr="00EC7E92">
        <w:rPr>
          <w:rFonts w:ascii="Helv" w:hAnsi="Helv" w:cs="Helv"/>
          <w:b/>
        </w:rPr>
        <w:t xml:space="preserve">) </w:t>
      </w:r>
      <w:r w:rsidR="00600AC1" w:rsidRPr="00EC7E92">
        <w:rPr>
          <w:rFonts w:ascii="Helv" w:hAnsi="Helv" w:cs="Helv"/>
        </w:rPr>
        <w:t>im Jahr 2011 ermöglicht jedem Bürger, bei der zuständigen Behörde u.</w:t>
      </w:r>
      <w:r w:rsidR="00004162" w:rsidRPr="00EC7E92">
        <w:rPr>
          <w:rFonts w:ascii="Helv" w:hAnsi="Helv" w:cs="Helv"/>
        </w:rPr>
        <w:t xml:space="preserve"> </w:t>
      </w:r>
      <w:r w:rsidR="00600AC1" w:rsidRPr="00EC7E92">
        <w:rPr>
          <w:rFonts w:ascii="Helv" w:hAnsi="Helv" w:cs="Helv"/>
        </w:rPr>
        <w:t>a. Informationen zu Hygienemängeln in Lebensmittelbetrieben aller Art abzufragen. Die Abfrage wird im Verwaltungsverfahren mit dem betroffenen Betrieb kommuniziert</w:t>
      </w:r>
      <w:r w:rsidR="00BF53BF" w:rsidRPr="00EC7E92">
        <w:rPr>
          <w:rFonts w:ascii="Helv" w:hAnsi="Helv" w:cs="Helv"/>
        </w:rPr>
        <w:t>.</w:t>
      </w:r>
      <w:r w:rsidR="005D1251" w:rsidRPr="00EC7E92">
        <w:rPr>
          <w:rFonts w:ascii="Helv" w:hAnsi="Helv" w:cs="Helv"/>
        </w:rPr>
        <w:t xml:space="preserve"> </w:t>
      </w:r>
      <w:r w:rsidR="00600AC1" w:rsidRPr="00EC7E92">
        <w:rPr>
          <w:rFonts w:ascii="Helv" w:hAnsi="Helv" w:cs="Helv"/>
        </w:rPr>
        <w:t>In den Jahren 2011 bis 2018 wurden ca</w:t>
      </w:r>
      <w:r w:rsidR="005D50B0" w:rsidRPr="00EC7E92">
        <w:rPr>
          <w:rFonts w:ascii="Helv" w:hAnsi="Helv" w:cs="Helv"/>
        </w:rPr>
        <w:t>.</w:t>
      </w:r>
      <w:r w:rsidR="00E00B5C" w:rsidRPr="00EC7E92">
        <w:rPr>
          <w:rFonts w:ascii="Helv" w:hAnsi="Helv" w:cs="Helv"/>
        </w:rPr>
        <w:t xml:space="preserve"> 1-3</w:t>
      </w:r>
      <w:r w:rsidR="00600AC1" w:rsidRPr="00EC7E92">
        <w:rPr>
          <w:rFonts w:ascii="Helv" w:hAnsi="Helv" w:cs="Helv"/>
        </w:rPr>
        <w:t xml:space="preserve"> Anfragen pro Jahr gestellt. Zum Jahreswechsel 2018/19 wurde in Zusam</w:t>
      </w:r>
      <w:r w:rsidR="00004162" w:rsidRPr="00EC7E92">
        <w:rPr>
          <w:rFonts w:ascii="Helv" w:hAnsi="Helv" w:cs="Helv"/>
        </w:rPr>
        <w:t>menarbeit der NGO</w:t>
      </w:r>
      <w:r w:rsidR="00600AC1" w:rsidRPr="00EC7E92">
        <w:rPr>
          <w:rFonts w:ascii="Helv" w:hAnsi="Helv" w:cs="Helv"/>
        </w:rPr>
        <w:t xml:space="preserve">s </w:t>
      </w:r>
      <w:proofErr w:type="spellStart"/>
      <w:r w:rsidR="00600AC1" w:rsidRPr="00EC7E92">
        <w:rPr>
          <w:rFonts w:ascii="Helv" w:hAnsi="Helv" w:cs="Helv"/>
        </w:rPr>
        <w:t>Foodwatch</w:t>
      </w:r>
      <w:proofErr w:type="spellEnd"/>
      <w:r w:rsidR="00600AC1" w:rsidRPr="00EC7E92">
        <w:rPr>
          <w:rFonts w:ascii="Helv" w:hAnsi="Helv" w:cs="Helv"/>
        </w:rPr>
        <w:t xml:space="preserve"> und "Frag den Staat" das Projekt "</w:t>
      </w:r>
      <w:proofErr w:type="spellStart"/>
      <w:r w:rsidR="00600AC1" w:rsidRPr="00EC7E92">
        <w:rPr>
          <w:rFonts w:ascii="Helv" w:hAnsi="Helv" w:cs="Helv"/>
        </w:rPr>
        <w:t>Topf</w:t>
      </w:r>
      <w:proofErr w:type="spellEnd"/>
      <w:r w:rsidR="00600AC1" w:rsidRPr="00EC7E92">
        <w:rPr>
          <w:rFonts w:ascii="Helv" w:hAnsi="Helv" w:cs="Helv"/>
        </w:rPr>
        <w:t xml:space="preserve"> </w:t>
      </w:r>
      <w:proofErr w:type="spellStart"/>
      <w:r w:rsidR="00600AC1" w:rsidRPr="00EC7E92">
        <w:rPr>
          <w:rFonts w:ascii="Helv" w:hAnsi="Helv" w:cs="Helv"/>
        </w:rPr>
        <w:t>secret</w:t>
      </w:r>
      <w:proofErr w:type="spellEnd"/>
      <w:r w:rsidR="00600AC1" w:rsidRPr="00EC7E92">
        <w:rPr>
          <w:rFonts w:ascii="Helv" w:hAnsi="Helv" w:cs="Helv"/>
        </w:rPr>
        <w:t xml:space="preserve">" gestartet, mit dem Bürger mit wenigen Mausklicks bundesweit Abfragen nach VIG stellen können. </w:t>
      </w:r>
      <w:r w:rsidR="00222BE7" w:rsidRPr="00EC7E92">
        <w:rPr>
          <w:rFonts w:ascii="Helv" w:hAnsi="Helv" w:cs="Helv"/>
        </w:rPr>
        <w:t xml:space="preserve">Im Jahr 2019 kam es daraufhin zu einer Vielzahl von Anfragen. </w:t>
      </w:r>
      <w:r w:rsidR="00600AC1" w:rsidRPr="00EC7E92">
        <w:rPr>
          <w:rFonts w:ascii="Helv" w:hAnsi="Helv" w:cs="Helv"/>
        </w:rPr>
        <w:t>Seit Dezember 2020 gibt es eine neue Aktion mit dem Titel "Mission Fleisch" die ebenfa</w:t>
      </w:r>
      <w:r w:rsidR="0053209A" w:rsidRPr="00EC7E92">
        <w:rPr>
          <w:rFonts w:ascii="Helv" w:hAnsi="Helv" w:cs="Helv"/>
        </w:rPr>
        <w:t>lls VIG-</w:t>
      </w:r>
      <w:r w:rsidR="00600AC1" w:rsidRPr="00EC7E92">
        <w:rPr>
          <w:rFonts w:ascii="Helv" w:hAnsi="Helv" w:cs="Helv"/>
        </w:rPr>
        <w:t>Anfragen zu Wurst und Fleischbetrieben stellt.</w:t>
      </w:r>
      <w:r w:rsidR="00E00B5C" w:rsidRPr="00EC7E92">
        <w:rPr>
          <w:rFonts w:ascii="Helv" w:hAnsi="Helv" w:cs="Helv"/>
        </w:rPr>
        <w:t xml:space="preserve"> </w:t>
      </w:r>
      <w:r w:rsidR="005D1251" w:rsidRPr="00EC7E92">
        <w:rPr>
          <w:rFonts w:ascii="Helv" w:hAnsi="Helv" w:cs="Helv"/>
        </w:rPr>
        <w:t>Folgende Fallzahlen waren zu verzeichnen:</w:t>
      </w:r>
    </w:p>
    <w:p w14:paraId="58AEC898" w14:textId="77777777" w:rsidR="0057411C" w:rsidRPr="00EC7E92" w:rsidRDefault="0057411C" w:rsidP="00600AC1">
      <w:pPr>
        <w:autoSpaceDE w:val="0"/>
        <w:autoSpaceDN w:val="0"/>
        <w:adjustRightInd w:val="0"/>
        <w:rPr>
          <w:rFonts w:ascii="Helv" w:hAnsi="Helv" w:cs="Helv"/>
        </w:rPr>
      </w:pPr>
    </w:p>
    <w:tbl>
      <w:tblPr>
        <w:tblpPr w:leftFromText="141" w:rightFromText="141" w:vertAnchor="text" w:horzAnchor="margin" w:tblpY="115"/>
        <w:tblW w:w="9493" w:type="dxa"/>
        <w:tblCellMar>
          <w:left w:w="70" w:type="dxa"/>
          <w:right w:w="70" w:type="dxa"/>
        </w:tblCellMar>
        <w:tblLook w:val="04A0" w:firstRow="1" w:lastRow="0" w:firstColumn="1" w:lastColumn="0" w:noHBand="0" w:noVBand="1"/>
      </w:tblPr>
      <w:tblGrid>
        <w:gridCol w:w="2972"/>
        <w:gridCol w:w="1049"/>
        <w:gridCol w:w="1049"/>
        <w:gridCol w:w="1049"/>
        <w:gridCol w:w="1049"/>
        <w:gridCol w:w="1049"/>
        <w:gridCol w:w="1276"/>
      </w:tblGrid>
      <w:tr w:rsidR="00EC7E92" w:rsidRPr="00EC7E92" w14:paraId="1199F8FF" w14:textId="77777777" w:rsidTr="00E00B5C">
        <w:trPr>
          <w:trHeight w:val="182"/>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25259" w14:textId="77777777" w:rsidR="00E00B5C" w:rsidRPr="00EC7E92" w:rsidRDefault="00E00B5C" w:rsidP="00E00B5C">
            <w:pPr>
              <w:rPr>
                <w:rFonts w:cs="Arial"/>
                <w:b/>
                <w:sz w:val="22"/>
                <w:szCs w:val="22"/>
              </w:rPr>
            </w:pPr>
            <w:r w:rsidRPr="00EC7E92">
              <w:rPr>
                <w:rFonts w:cs="Arial"/>
                <w:b/>
                <w:sz w:val="22"/>
                <w:szCs w:val="22"/>
              </w:rPr>
              <w:t>Anzahl der…</w:t>
            </w:r>
          </w:p>
        </w:tc>
        <w:tc>
          <w:tcPr>
            <w:tcW w:w="1049" w:type="dxa"/>
            <w:tcBorders>
              <w:top w:val="single" w:sz="4" w:space="0" w:color="auto"/>
              <w:left w:val="single" w:sz="4" w:space="0" w:color="auto"/>
              <w:bottom w:val="single" w:sz="4" w:space="0" w:color="auto"/>
              <w:right w:val="single" w:sz="4" w:space="0" w:color="auto"/>
            </w:tcBorders>
          </w:tcPr>
          <w:p w14:paraId="252E0616" w14:textId="77777777" w:rsidR="00E00B5C" w:rsidRPr="00EC7E92" w:rsidRDefault="00E00B5C" w:rsidP="00E00B5C">
            <w:pPr>
              <w:jc w:val="right"/>
              <w:rPr>
                <w:rFonts w:cs="Arial"/>
                <w:b/>
                <w:sz w:val="22"/>
                <w:szCs w:val="22"/>
              </w:rPr>
            </w:pPr>
            <w:r w:rsidRPr="00EC7E92">
              <w:rPr>
                <w:rFonts w:cs="Arial"/>
                <w:b/>
                <w:sz w:val="22"/>
                <w:szCs w:val="22"/>
              </w:rPr>
              <w:t>2016</w:t>
            </w:r>
          </w:p>
        </w:tc>
        <w:tc>
          <w:tcPr>
            <w:tcW w:w="1049" w:type="dxa"/>
            <w:tcBorders>
              <w:top w:val="single" w:sz="4" w:space="0" w:color="auto"/>
              <w:left w:val="single" w:sz="4" w:space="0" w:color="auto"/>
              <w:bottom w:val="single" w:sz="4" w:space="0" w:color="auto"/>
              <w:right w:val="single" w:sz="4" w:space="0" w:color="auto"/>
            </w:tcBorders>
          </w:tcPr>
          <w:p w14:paraId="71AC4717" w14:textId="77777777" w:rsidR="00E00B5C" w:rsidRPr="00EC7E92" w:rsidRDefault="00E00B5C" w:rsidP="00E00B5C">
            <w:pPr>
              <w:jc w:val="right"/>
              <w:rPr>
                <w:rFonts w:cs="Arial"/>
                <w:b/>
                <w:sz w:val="22"/>
                <w:szCs w:val="22"/>
              </w:rPr>
            </w:pPr>
            <w:r w:rsidRPr="00EC7E92">
              <w:rPr>
                <w:rFonts w:cs="Arial"/>
                <w:b/>
                <w:sz w:val="22"/>
                <w:szCs w:val="22"/>
              </w:rPr>
              <w:t>2017</w:t>
            </w:r>
          </w:p>
        </w:tc>
        <w:tc>
          <w:tcPr>
            <w:tcW w:w="1049" w:type="dxa"/>
            <w:tcBorders>
              <w:top w:val="single" w:sz="4" w:space="0" w:color="auto"/>
              <w:left w:val="single" w:sz="4" w:space="0" w:color="auto"/>
              <w:bottom w:val="single" w:sz="4" w:space="0" w:color="auto"/>
              <w:right w:val="single" w:sz="4" w:space="0" w:color="auto"/>
            </w:tcBorders>
          </w:tcPr>
          <w:p w14:paraId="79303A08" w14:textId="77777777" w:rsidR="00E00B5C" w:rsidRPr="00EC7E92" w:rsidRDefault="00E00B5C" w:rsidP="00E00B5C">
            <w:pPr>
              <w:jc w:val="right"/>
              <w:rPr>
                <w:rFonts w:cs="Arial"/>
                <w:b/>
                <w:sz w:val="22"/>
                <w:szCs w:val="22"/>
              </w:rPr>
            </w:pPr>
            <w:r w:rsidRPr="00EC7E92">
              <w:rPr>
                <w:rFonts w:cs="Arial"/>
                <w:b/>
                <w:sz w:val="22"/>
                <w:szCs w:val="22"/>
              </w:rPr>
              <w:t>2018</w:t>
            </w:r>
          </w:p>
        </w:tc>
        <w:tc>
          <w:tcPr>
            <w:tcW w:w="1049" w:type="dxa"/>
            <w:tcBorders>
              <w:top w:val="single" w:sz="4" w:space="0" w:color="auto"/>
              <w:left w:val="single" w:sz="4" w:space="0" w:color="auto"/>
              <w:bottom w:val="single" w:sz="4" w:space="0" w:color="auto"/>
              <w:right w:val="single" w:sz="4" w:space="0" w:color="auto"/>
            </w:tcBorders>
            <w:vAlign w:val="center"/>
          </w:tcPr>
          <w:p w14:paraId="4A2F4EB3" w14:textId="77777777" w:rsidR="00E00B5C" w:rsidRPr="00EC7E92" w:rsidRDefault="00E00B5C" w:rsidP="00E00B5C">
            <w:pPr>
              <w:jc w:val="right"/>
              <w:rPr>
                <w:rFonts w:cs="Arial"/>
                <w:b/>
                <w:sz w:val="22"/>
                <w:szCs w:val="22"/>
              </w:rPr>
            </w:pPr>
            <w:r w:rsidRPr="00EC7E92">
              <w:rPr>
                <w:rFonts w:cs="Arial"/>
                <w:b/>
                <w:sz w:val="22"/>
                <w:szCs w:val="22"/>
              </w:rPr>
              <w:t>2019</w:t>
            </w:r>
          </w:p>
        </w:tc>
        <w:tc>
          <w:tcPr>
            <w:tcW w:w="1049" w:type="dxa"/>
            <w:tcBorders>
              <w:top w:val="single" w:sz="4" w:space="0" w:color="auto"/>
              <w:left w:val="nil"/>
              <w:bottom w:val="single" w:sz="4" w:space="0" w:color="auto"/>
              <w:right w:val="single" w:sz="4" w:space="0" w:color="auto"/>
            </w:tcBorders>
            <w:vAlign w:val="center"/>
          </w:tcPr>
          <w:p w14:paraId="13EB045E" w14:textId="77777777" w:rsidR="00E00B5C" w:rsidRPr="00EC7E92" w:rsidRDefault="00E00B5C" w:rsidP="00E00B5C">
            <w:pPr>
              <w:jc w:val="right"/>
              <w:rPr>
                <w:rFonts w:cs="Arial"/>
                <w:b/>
                <w:sz w:val="22"/>
                <w:szCs w:val="22"/>
              </w:rPr>
            </w:pPr>
            <w:r w:rsidRPr="00EC7E92">
              <w:rPr>
                <w:rFonts w:cs="Arial"/>
                <w:b/>
                <w:sz w:val="22"/>
                <w:szCs w:val="22"/>
              </w:rPr>
              <w:t>2020</w:t>
            </w:r>
          </w:p>
        </w:tc>
        <w:tc>
          <w:tcPr>
            <w:tcW w:w="1276" w:type="dxa"/>
            <w:tcBorders>
              <w:top w:val="single" w:sz="4" w:space="0" w:color="auto"/>
              <w:left w:val="nil"/>
              <w:bottom w:val="single" w:sz="4" w:space="0" w:color="auto"/>
              <w:right w:val="single" w:sz="4" w:space="0" w:color="auto"/>
            </w:tcBorders>
          </w:tcPr>
          <w:p w14:paraId="3A134DBC" w14:textId="77777777" w:rsidR="00E00B5C" w:rsidRPr="00EC7E92" w:rsidRDefault="00E00B5C" w:rsidP="00E00B5C">
            <w:pPr>
              <w:jc w:val="right"/>
              <w:rPr>
                <w:rFonts w:cs="Arial"/>
                <w:b/>
                <w:sz w:val="22"/>
                <w:szCs w:val="22"/>
              </w:rPr>
            </w:pPr>
            <w:r w:rsidRPr="00EC7E92">
              <w:rPr>
                <w:rFonts w:cs="Arial"/>
                <w:b/>
                <w:sz w:val="22"/>
                <w:szCs w:val="22"/>
              </w:rPr>
              <w:t>1. HJ 2021</w:t>
            </w:r>
          </w:p>
        </w:tc>
      </w:tr>
      <w:tr w:rsidR="00EC7E92" w:rsidRPr="00EC7E92" w14:paraId="11932604" w14:textId="77777777" w:rsidTr="00E00B5C">
        <w:trPr>
          <w:trHeight w:val="182"/>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5AF1FDFD" w14:textId="77777777" w:rsidR="00E00B5C" w:rsidRPr="00EC7E92" w:rsidRDefault="00E00B5C" w:rsidP="00E00B5C">
            <w:pPr>
              <w:rPr>
                <w:rFonts w:cs="Arial"/>
                <w:sz w:val="22"/>
                <w:szCs w:val="22"/>
              </w:rPr>
            </w:pPr>
            <w:r w:rsidRPr="00EC7E92">
              <w:rPr>
                <w:rFonts w:cs="Arial"/>
                <w:sz w:val="22"/>
                <w:szCs w:val="22"/>
              </w:rPr>
              <w:t xml:space="preserve">Anfragen nach </w:t>
            </w:r>
            <w:proofErr w:type="spellStart"/>
            <w:r w:rsidRPr="00EC7E92">
              <w:rPr>
                <w:rFonts w:cs="Arial"/>
                <w:sz w:val="22"/>
                <w:szCs w:val="22"/>
              </w:rPr>
              <w:t>VlG</w:t>
            </w:r>
            <w:proofErr w:type="spellEnd"/>
          </w:p>
        </w:tc>
        <w:tc>
          <w:tcPr>
            <w:tcW w:w="1049" w:type="dxa"/>
            <w:tcBorders>
              <w:top w:val="nil"/>
              <w:left w:val="single" w:sz="4" w:space="0" w:color="auto"/>
              <w:bottom w:val="single" w:sz="4" w:space="0" w:color="auto"/>
              <w:right w:val="single" w:sz="4" w:space="0" w:color="auto"/>
            </w:tcBorders>
          </w:tcPr>
          <w:p w14:paraId="10A9CB53" w14:textId="77777777" w:rsidR="00E00B5C" w:rsidRPr="00EC7E92" w:rsidRDefault="00E00B5C" w:rsidP="00E00B5C">
            <w:pPr>
              <w:jc w:val="right"/>
              <w:rPr>
                <w:rFonts w:cs="Arial"/>
                <w:sz w:val="22"/>
                <w:szCs w:val="22"/>
              </w:rPr>
            </w:pPr>
            <w:r w:rsidRPr="00EC7E92">
              <w:rPr>
                <w:rFonts w:cs="Arial"/>
                <w:sz w:val="22"/>
                <w:szCs w:val="22"/>
              </w:rPr>
              <w:t>3</w:t>
            </w:r>
          </w:p>
        </w:tc>
        <w:tc>
          <w:tcPr>
            <w:tcW w:w="1049" w:type="dxa"/>
            <w:tcBorders>
              <w:top w:val="nil"/>
              <w:left w:val="single" w:sz="4" w:space="0" w:color="auto"/>
              <w:bottom w:val="single" w:sz="4" w:space="0" w:color="auto"/>
              <w:right w:val="single" w:sz="4" w:space="0" w:color="auto"/>
            </w:tcBorders>
          </w:tcPr>
          <w:p w14:paraId="5CE9DEA8" w14:textId="77777777" w:rsidR="00E00B5C" w:rsidRPr="00EC7E92" w:rsidRDefault="00E00B5C" w:rsidP="00E00B5C">
            <w:pPr>
              <w:jc w:val="right"/>
              <w:rPr>
                <w:rFonts w:cs="Arial"/>
                <w:sz w:val="22"/>
                <w:szCs w:val="22"/>
              </w:rPr>
            </w:pPr>
            <w:r w:rsidRPr="00EC7E92">
              <w:rPr>
                <w:rFonts w:cs="Arial"/>
                <w:sz w:val="22"/>
                <w:szCs w:val="22"/>
              </w:rPr>
              <w:t>1</w:t>
            </w:r>
          </w:p>
        </w:tc>
        <w:tc>
          <w:tcPr>
            <w:tcW w:w="1049" w:type="dxa"/>
            <w:tcBorders>
              <w:top w:val="nil"/>
              <w:left w:val="single" w:sz="4" w:space="0" w:color="auto"/>
              <w:bottom w:val="single" w:sz="4" w:space="0" w:color="auto"/>
              <w:right w:val="single" w:sz="4" w:space="0" w:color="auto"/>
            </w:tcBorders>
          </w:tcPr>
          <w:p w14:paraId="130FB304" w14:textId="77777777" w:rsidR="00E00B5C" w:rsidRPr="00EC7E92" w:rsidRDefault="00E00B5C" w:rsidP="00E00B5C">
            <w:pPr>
              <w:jc w:val="right"/>
              <w:rPr>
                <w:rFonts w:cs="Arial"/>
                <w:sz w:val="22"/>
                <w:szCs w:val="22"/>
              </w:rPr>
            </w:pPr>
            <w:r w:rsidRPr="00EC7E92">
              <w:rPr>
                <w:rFonts w:cs="Arial"/>
                <w:sz w:val="22"/>
                <w:szCs w:val="22"/>
              </w:rPr>
              <w:t>2</w:t>
            </w:r>
          </w:p>
        </w:tc>
        <w:tc>
          <w:tcPr>
            <w:tcW w:w="1049" w:type="dxa"/>
            <w:tcBorders>
              <w:top w:val="nil"/>
              <w:left w:val="single" w:sz="4" w:space="0" w:color="auto"/>
              <w:bottom w:val="single" w:sz="4" w:space="0" w:color="auto"/>
              <w:right w:val="single" w:sz="4" w:space="0" w:color="auto"/>
            </w:tcBorders>
            <w:vAlign w:val="center"/>
          </w:tcPr>
          <w:p w14:paraId="5C536E14" w14:textId="77777777" w:rsidR="00E00B5C" w:rsidRPr="00EC7E92" w:rsidRDefault="00E00B5C" w:rsidP="00E00B5C">
            <w:pPr>
              <w:jc w:val="right"/>
              <w:rPr>
                <w:rFonts w:cs="Arial"/>
                <w:sz w:val="22"/>
                <w:szCs w:val="22"/>
              </w:rPr>
            </w:pPr>
            <w:r w:rsidRPr="00EC7E92">
              <w:rPr>
                <w:rFonts w:cs="Arial"/>
                <w:sz w:val="22"/>
                <w:szCs w:val="22"/>
              </w:rPr>
              <w:t>555</w:t>
            </w:r>
          </w:p>
        </w:tc>
        <w:tc>
          <w:tcPr>
            <w:tcW w:w="1049" w:type="dxa"/>
            <w:tcBorders>
              <w:top w:val="nil"/>
              <w:left w:val="nil"/>
              <w:bottom w:val="single" w:sz="4" w:space="0" w:color="auto"/>
              <w:right w:val="single" w:sz="4" w:space="0" w:color="auto"/>
            </w:tcBorders>
            <w:vAlign w:val="center"/>
          </w:tcPr>
          <w:p w14:paraId="07B2D600" w14:textId="77777777" w:rsidR="00E00B5C" w:rsidRPr="00EC7E92" w:rsidRDefault="00E00B5C" w:rsidP="00E00B5C">
            <w:pPr>
              <w:jc w:val="right"/>
              <w:rPr>
                <w:rFonts w:cs="Arial"/>
                <w:sz w:val="22"/>
                <w:szCs w:val="22"/>
              </w:rPr>
            </w:pPr>
            <w:r w:rsidRPr="00EC7E92">
              <w:rPr>
                <w:rFonts w:cs="Arial"/>
                <w:sz w:val="22"/>
                <w:szCs w:val="22"/>
              </w:rPr>
              <w:t>97</w:t>
            </w:r>
          </w:p>
        </w:tc>
        <w:tc>
          <w:tcPr>
            <w:tcW w:w="1276" w:type="dxa"/>
            <w:tcBorders>
              <w:top w:val="nil"/>
              <w:left w:val="nil"/>
              <w:bottom w:val="single" w:sz="4" w:space="0" w:color="auto"/>
              <w:right w:val="single" w:sz="4" w:space="0" w:color="auto"/>
            </w:tcBorders>
          </w:tcPr>
          <w:p w14:paraId="72C88494" w14:textId="77777777" w:rsidR="00E00B5C" w:rsidRPr="00EC7E92" w:rsidRDefault="00E00B5C" w:rsidP="00E00B5C">
            <w:pPr>
              <w:jc w:val="right"/>
              <w:rPr>
                <w:rFonts w:cs="Arial"/>
                <w:sz w:val="22"/>
                <w:szCs w:val="22"/>
              </w:rPr>
            </w:pPr>
            <w:r w:rsidRPr="00EC7E92">
              <w:rPr>
                <w:rFonts w:cs="Arial"/>
                <w:sz w:val="22"/>
                <w:szCs w:val="22"/>
              </w:rPr>
              <w:t>24</w:t>
            </w:r>
          </w:p>
        </w:tc>
      </w:tr>
    </w:tbl>
    <w:p w14:paraId="552631DB" w14:textId="77777777" w:rsidR="00E00B5C" w:rsidRPr="00EC7E92" w:rsidRDefault="00E00B5C" w:rsidP="00600AC1">
      <w:pPr>
        <w:autoSpaceDE w:val="0"/>
        <w:autoSpaceDN w:val="0"/>
        <w:adjustRightInd w:val="0"/>
        <w:rPr>
          <w:rFonts w:ascii="Helv" w:hAnsi="Helv" w:cs="Helv"/>
        </w:rPr>
      </w:pPr>
    </w:p>
    <w:p w14:paraId="3553868F" w14:textId="77777777" w:rsidR="00E00B5C" w:rsidRPr="00EC7E92" w:rsidRDefault="00671A18" w:rsidP="00600AC1">
      <w:pPr>
        <w:autoSpaceDE w:val="0"/>
        <w:autoSpaceDN w:val="0"/>
        <w:adjustRightInd w:val="0"/>
        <w:rPr>
          <w:rFonts w:ascii="Helv" w:hAnsi="Helv" w:cs="Helv"/>
        </w:rPr>
      </w:pPr>
      <w:r w:rsidRPr="00EC7E92">
        <w:rPr>
          <w:rFonts w:ascii="Helv" w:hAnsi="Helv" w:cs="Helv"/>
        </w:rPr>
        <w:t xml:space="preserve">Die Fallzahlen der Jahre 2016 – 2019 sind für die Bemessung des künftigen Personalbedarfs nicht repräsentativ. </w:t>
      </w:r>
      <w:r w:rsidR="00E00B5C" w:rsidRPr="00EC7E92">
        <w:rPr>
          <w:rFonts w:ascii="Helv" w:hAnsi="Helv" w:cs="Helv"/>
        </w:rPr>
        <w:t>Ausgehend von den Fallzahlen des Jahres 2020 und d</w:t>
      </w:r>
      <w:r w:rsidRPr="00EC7E92">
        <w:rPr>
          <w:rFonts w:ascii="Helv" w:hAnsi="Helv" w:cs="Helv"/>
        </w:rPr>
        <w:t xml:space="preserve">es ersten Halbjahres 2021 wird </w:t>
      </w:r>
      <w:r w:rsidR="00E00B5C" w:rsidRPr="00EC7E92">
        <w:rPr>
          <w:rFonts w:ascii="Helv" w:hAnsi="Helv" w:cs="Helv"/>
        </w:rPr>
        <w:t>von rund 73 Fällen jährlich ausgegangen.</w:t>
      </w:r>
      <w:r w:rsidRPr="00EC7E92">
        <w:rPr>
          <w:rFonts w:ascii="Helv" w:hAnsi="Helv" w:cs="Helv"/>
        </w:rPr>
        <w:t xml:space="preserve"> </w:t>
      </w:r>
    </w:p>
    <w:p w14:paraId="605DFA48" w14:textId="77777777" w:rsidR="00E00B5C" w:rsidRPr="00EC7E92" w:rsidRDefault="00E00B5C" w:rsidP="00600AC1">
      <w:pPr>
        <w:autoSpaceDE w:val="0"/>
        <w:autoSpaceDN w:val="0"/>
        <w:adjustRightInd w:val="0"/>
        <w:rPr>
          <w:rFonts w:ascii="Helv" w:hAnsi="Helv" w:cs="Helv"/>
        </w:rPr>
      </w:pPr>
    </w:p>
    <w:p w14:paraId="1057904C" w14:textId="77777777" w:rsidR="005D1251" w:rsidRPr="00EC7E92" w:rsidRDefault="005D1251" w:rsidP="00600AC1">
      <w:pPr>
        <w:autoSpaceDE w:val="0"/>
        <w:autoSpaceDN w:val="0"/>
        <w:adjustRightInd w:val="0"/>
        <w:rPr>
          <w:rFonts w:ascii="Helv" w:hAnsi="Helv" w:cs="Helv"/>
          <w:b/>
        </w:rPr>
      </w:pPr>
      <w:r w:rsidRPr="00EC7E92">
        <w:rPr>
          <w:b/>
        </w:rPr>
        <w:t>Erweiterung des § 40 LFGB (Transparenzsystem)</w:t>
      </w:r>
    </w:p>
    <w:p w14:paraId="0A477BEB" w14:textId="77777777" w:rsidR="0057411C" w:rsidRPr="00EC7E92" w:rsidRDefault="0057411C" w:rsidP="0026574F"/>
    <w:p w14:paraId="7369A4B5" w14:textId="77777777" w:rsidR="00921164" w:rsidRPr="00EC7E92" w:rsidRDefault="00611069" w:rsidP="00791E2A">
      <w:r w:rsidRPr="00EC7E92">
        <w:t xml:space="preserve">Der § 40 </w:t>
      </w:r>
      <w:r w:rsidR="0065756F" w:rsidRPr="00EC7E92">
        <w:t>Lebensmittel- und Futtermittelgesetzbuch (</w:t>
      </w:r>
      <w:r w:rsidRPr="00EC7E92">
        <w:t>LFGB</w:t>
      </w:r>
      <w:r w:rsidR="0065756F" w:rsidRPr="00EC7E92">
        <w:t>)</w:t>
      </w:r>
      <w:r w:rsidRPr="00EC7E92">
        <w:t xml:space="preserve"> wurde 2013 hinsichtlich einer Veröffentlichungspflicht für bestimmte Betriebe erweitert (Transparenzsystem). Aufgrund verfassungsrechtlicher Bedenken wurde die Anwendung bis auf weiteres ausgesetzt. </w:t>
      </w:r>
      <w:r w:rsidR="00E616E1" w:rsidRPr="00EC7E92">
        <w:t xml:space="preserve">Nach Abschluss </w:t>
      </w:r>
      <w:r w:rsidRPr="00EC7E92">
        <w:t>verfassungs</w:t>
      </w:r>
      <w:r w:rsidR="00E616E1" w:rsidRPr="00EC7E92">
        <w:t>gerichtlicher Verfahren und der daraus resultierenden Gesetzesänderung des § 40</w:t>
      </w:r>
      <w:r w:rsidR="00004162" w:rsidRPr="00EC7E92">
        <w:t>, Abs.</w:t>
      </w:r>
      <w:r w:rsidR="00E616E1" w:rsidRPr="00EC7E92">
        <w:t xml:space="preserve"> 1a </w:t>
      </w:r>
      <w:r w:rsidR="00004162" w:rsidRPr="00EC7E92">
        <w:t>LFGB</w:t>
      </w:r>
      <w:r w:rsidR="00E616E1" w:rsidRPr="00EC7E92">
        <w:t xml:space="preserve"> hat das Ministeriums für ländlichen Raum m</w:t>
      </w:r>
      <w:r w:rsidR="00945B51" w:rsidRPr="00EC7E92">
        <w:t xml:space="preserve">it Erlass vom 26.10.2018 die Vorgehensweise für die </w:t>
      </w:r>
      <w:r w:rsidR="00E616E1" w:rsidRPr="00EC7E92">
        <w:t xml:space="preserve">erneute Veröffentlichungspflicht bekanntgegeben. </w:t>
      </w:r>
    </w:p>
    <w:p w14:paraId="36E0B8C1" w14:textId="28DDF461" w:rsidR="00E00B5C" w:rsidRPr="00EC7E92" w:rsidRDefault="00E616E1" w:rsidP="00791E2A">
      <w:r w:rsidRPr="00EC7E92">
        <w:t>Betriebe</w:t>
      </w:r>
      <w:r w:rsidR="0053209A" w:rsidRPr="00EC7E92">
        <w:t>,</w:t>
      </w:r>
      <w:r w:rsidRPr="00EC7E92">
        <w:t xml:space="preserve"> die erhebliche hygienische Mängel aufweisen und in Folge dessen ein</w:t>
      </w:r>
      <w:r w:rsidR="0053209A" w:rsidRPr="00EC7E92">
        <w:t>en</w:t>
      </w:r>
      <w:r w:rsidRPr="00EC7E92">
        <w:t xml:space="preserve"> Bußgeld</w:t>
      </w:r>
      <w:r w:rsidR="004C4BEB" w:rsidRPr="00EC7E92">
        <w:t>bescheid v</w:t>
      </w:r>
      <w:r w:rsidRPr="00EC7E92">
        <w:t>on</w:t>
      </w:r>
      <w:r w:rsidR="004C4BEB" w:rsidRPr="00EC7E92">
        <w:t xml:space="preserve"> </w:t>
      </w:r>
      <w:r w:rsidRPr="00EC7E92">
        <w:t xml:space="preserve">mindestens 350 € zu erwarten </w:t>
      </w:r>
      <w:r w:rsidR="0053209A" w:rsidRPr="00EC7E92">
        <w:t>haben</w:t>
      </w:r>
      <w:r w:rsidR="004C4BEB" w:rsidRPr="00EC7E92">
        <w:t>,</w:t>
      </w:r>
      <w:r w:rsidRPr="00EC7E92">
        <w:t xml:space="preserve"> </w:t>
      </w:r>
      <w:r w:rsidR="004C4BEB" w:rsidRPr="00EC7E92">
        <w:t xml:space="preserve">sind in einem verwaltungsrechtlichen Verfahren unter Beteiligung des Ministeriums im Internet unter </w:t>
      </w:r>
      <w:hyperlink r:id="rId7" w:history="1">
        <w:r w:rsidR="00741EAD" w:rsidRPr="00EC7E92">
          <w:rPr>
            <w:rStyle w:val="Hyperlink"/>
            <w:color w:val="auto"/>
            <w:u w:val="none"/>
          </w:rPr>
          <w:t>www.verbraucherinfo-bw.de</w:t>
        </w:r>
      </w:hyperlink>
      <w:r w:rsidR="004C4BEB" w:rsidRPr="00EC7E92">
        <w:t xml:space="preserve"> zu veröffentlichen. </w:t>
      </w:r>
      <w:r w:rsidR="005D1251" w:rsidRPr="00EC7E92">
        <w:t>Seit 2018 sind folgende Fallzahlen zu verzeichnen:</w:t>
      </w:r>
    </w:p>
    <w:tbl>
      <w:tblPr>
        <w:tblpPr w:leftFromText="141" w:rightFromText="141" w:vertAnchor="text" w:horzAnchor="margin" w:tblpY="115"/>
        <w:tblW w:w="9209" w:type="dxa"/>
        <w:tblCellMar>
          <w:left w:w="70" w:type="dxa"/>
          <w:right w:w="70" w:type="dxa"/>
        </w:tblCellMar>
        <w:tblLook w:val="04A0" w:firstRow="1" w:lastRow="0" w:firstColumn="1" w:lastColumn="0" w:noHBand="0" w:noVBand="1"/>
      </w:tblPr>
      <w:tblGrid>
        <w:gridCol w:w="5524"/>
        <w:gridCol w:w="803"/>
        <w:gridCol w:w="803"/>
        <w:gridCol w:w="803"/>
        <w:gridCol w:w="1276"/>
      </w:tblGrid>
      <w:tr w:rsidR="00EC7E92" w:rsidRPr="00EC7E92" w14:paraId="502161DA" w14:textId="77777777" w:rsidTr="00921164">
        <w:trPr>
          <w:trHeight w:val="18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C8779" w14:textId="77777777" w:rsidR="00E00B5C" w:rsidRPr="00EC7E92" w:rsidRDefault="00E00B5C" w:rsidP="00F7178D">
            <w:pPr>
              <w:rPr>
                <w:rFonts w:cs="Arial"/>
                <w:b/>
                <w:sz w:val="22"/>
                <w:szCs w:val="22"/>
              </w:rPr>
            </w:pPr>
            <w:r w:rsidRPr="00EC7E92">
              <w:rPr>
                <w:rFonts w:cs="Arial"/>
                <w:b/>
                <w:sz w:val="22"/>
                <w:szCs w:val="22"/>
              </w:rPr>
              <w:lastRenderedPageBreak/>
              <w:t>Anzahl der…</w:t>
            </w:r>
          </w:p>
        </w:tc>
        <w:tc>
          <w:tcPr>
            <w:tcW w:w="803" w:type="dxa"/>
            <w:tcBorders>
              <w:top w:val="single" w:sz="4" w:space="0" w:color="auto"/>
              <w:left w:val="single" w:sz="4" w:space="0" w:color="auto"/>
              <w:bottom w:val="single" w:sz="4" w:space="0" w:color="auto"/>
              <w:right w:val="single" w:sz="4" w:space="0" w:color="auto"/>
            </w:tcBorders>
          </w:tcPr>
          <w:p w14:paraId="6F86121C" w14:textId="77777777" w:rsidR="00E00B5C" w:rsidRPr="00EC7E92" w:rsidRDefault="00E00B5C" w:rsidP="00F7178D">
            <w:pPr>
              <w:jc w:val="right"/>
              <w:rPr>
                <w:rFonts w:cs="Arial"/>
                <w:b/>
                <w:sz w:val="22"/>
                <w:szCs w:val="22"/>
              </w:rPr>
            </w:pPr>
            <w:r w:rsidRPr="00EC7E92">
              <w:rPr>
                <w:rFonts w:cs="Arial"/>
                <w:b/>
                <w:sz w:val="22"/>
                <w:szCs w:val="22"/>
              </w:rPr>
              <w:t>2018</w:t>
            </w:r>
          </w:p>
        </w:tc>
        <w:tc>
          <w:tcPr>
            <w:tcW w:w="803" w:type="dxa"/>
            <w:tcBorders>
              <w:top w:val="single" w:sz="4" w:space="0" w:color="auto"/>
              <w:left w:val="single" w:sz="4" w:space="0" w:color="auto"/>
              <w:bottom w:val="single" w:sz="4" w:space="0" w:color="auto"/>
              <w:right w:val="single" w:sz="4" w:space="0" w:color="auto"/>
            </w:tcBorders>
            <w:vAlign w:val="center"/>
          </w:tcPr>
          <w:p w14:paraId="05719E42" w14:textId="77777777" w:rsidR="00E00B5C" w:rsidRPr="00EC7E92" w:rsidRDefault="00E00B5C" w:rsidP="00F7178D">
            <w:pPr>
              <w:jc w:val="right"/>
              <w:rPr>
                <w:rFonts w:cs="Arial"/>
                <w:b/>
                <w:sz w:val="22"/>
                <w:szCs w:val="22"/>
              </w:rPr>
            </w:pPr>
            <w:r w:rsidRPr="00EC7E92">
              <w:rPr>
                <w:rFonts w:cs="Arial"/>
                <w:b/>
                <w:sz w:val="22"/>
                <w:szCs w:val="22"/>
              </w:rPr>
              <w:t>2019</w:t>
            </w:r>
          </w:p>
        </w:tc>
        <w:tc>
          <w:tcPr>
            <w:tcW w:w="803" w:type="dxa"/>
            <w:tcBorders>
              <w:top w:val="single" w:sz="4" w:space="0" w:color="auto"/>
              <w:left w:val="nil"/>
              <w:bottom w:val="single" w:sz="4" w:space="0" w:color="auto"/>
              <w:right w:val="single" w:sz="4" w:space="0" w:color="auto"/>
            </w:tcBorders>
            <w:vAlign w:val="center"/>
          </w:tcPr>
          <w:p w14:paraId="72D0F49C" w14:textId="77777777" w:rsidR="00E00B5C" w:rsidRPr="00EC7E92" w:rsidRDefault="00E00B5C" w:rsidP="00F7178D">
            <w:pPr>
              <w:jc w:val="right"/>
              <w:rPr>
                <w:rFonts w:cs="Arial"/>
                <w:b/>
                <w:sz w:val="22"/>
                <w:szCs w:val="22"/>
              </w:rPr>
            </w:pPr>
            <w:r w:rsidRPr="00EC7E92">
              <w:rPr>
                <w:rFonts w:cs="Arial"/>
                <w:b/>
                <w:sz w:val="22"/>
                <w:szCs w:val="22"/>
              </w:rPr>
              <w:t>2020</w:t>
            </w:r>
          </w:p>
        </w:tc>
        <w:tc>
          <w:tcPr>
            <w:tcW w:w="1276" w:type="dxa"/>
            <w:tcBorders>
              <w:top w:val="single" w:sz="4" w:space="0" w:color="auto"/>
              <w:left w:val="nil"/>
              <w:bottom w:val="single" w:sz="4" w:space="0" w:color="auto"/>
              <w:right w:val="single" w:sz="4" w:space="0" w:color="auto"/>
            </w:tcBorders>
          </w:tcPr>
          <w:p w14:paraId="5544EC12" w14:textId="77777777" w:rsidR="00E00B5C" w:rsidRPr="00EC7E92" w:rsidRDefault="00E00B5C" w:rsidP="00F7178D">
            <w:pPr>
              <w:jc w:val="right"/>
              <w:rPr>
                <w:rFonts w:cs="Arial"/>
                <w:b/>
                <w:sz w:val="22"/>
                <w:szCs w:val="22"/>
              </w:rPr>
            </w:pPr>
            <w:r w:rsidRPr="00EC7E92">
              <w:rPr>
                <w:rFonts w:cs="Arial"/>
                <w:b/>
                <w:sz w:val="22"/>
                <w:szCs w:val="22"/>
              </w:rPr>
              <w:t>1. HJ 2021</w:t>
            </w:r>
          </w:p>
        </w:tc>
      </w:tr>
      <w:tr w:rsidR="00EC7E92" w:rsidRPr="00EC7E92" w14:paraId="67D8FE1A" w14:textId="77777777" w:rsidTr="00921164">
        <w:trPr>
          <w:trHeight w:val="182"/>
        </w:trPr>
        <w:tc>
          <w:tcPr>
            <w:tcW w:w="5524" w:type="dxa"/>
            <w:tcBorders>
              <w:top w:val="nil"/>
              <w:left w:val="single" w:sz="4" w:space="0" w:color="auto"/>
              <w:bottom w:val="single" w:sz="4" w:space="0" w:color="auto"/>
              <w:right w:val="single" w:sz="4" w:space="0" w:color="auto"/>
            </w:tcBorders>
            <w:shd w:val="clear" w:color="auto" w:fill="auto"/>
            <w:noWrap/>
            <w:vAlign w:val="bottom"/>
          </w:tcPr>
          <w:p w14:paraId="2BB3D6F1" w14:textId="77777777" w:rsidR="00E00B5C" w:rsidRPr="00EC7E92" w:rsidRDefault="00E00B5C" w:rsidP="00F7178D">
            <w:pPr>
              <w:rPr>
                <w:rFonts w:cs="Arial"/>
                <w:sz w:val="22"/>
                <w:szCs w:val="22"/>
              </w:rPr>
            </w:pPr>
            <w:r w:rsidRPr="00EC7E92">
              <w:rPr>
                <w:rFonts w:cs="Arial"/>
                <w:sz w:val="22"/>
                <w:szCs w:val="22"/>
              </w:rPr>
              <w:t>Veröffentlichungen nach § 40</w:t>
            </w:r>
            <w:r w:rsidR="00004162" w:rsidRPr="00EC7E92">
              <w:rPr>
                <w:rFonts w:cs="Arial"/>
                <w:sz w:val="22"/>
                <w:szCs w:val="22"/>
              </w:rPr>
              <w:t>, Abs.</w:t>
            </w:r>
            <w:r w:rsidRPr="00EC7E92">
              <w:rPr>
                <w:rFonts w:cs="Arial"/>
                <w:sz w:val="22"/>
                <w:szCs w:val="22"/>
              </w:rPr>
              <w:t xml:space="preserve"> 1 a LFGB</w:t>
            </w:r>
          </w:p>
        </w:tc>
        <w:tc>
          <w:tcPr>
            <w:tcW w:w="803" w:type="dxa"/>
            <w:tcBorders>
              <w:top w:val="nil"/>
              <w:left w:val="single" w:sz="4" w:space="0" w:color="auto"/>
              <w:bottom w:val="single" w:sz="4" w:space="0" w:color="auto"/>
              <w:right w:val="single" w:sz="4" w:space="0" w:color="auto"/>
            </w:tcBorders>
            <w:vAlign w:val="center"/>
          </w:tcPr>
          <w:p w14:paraId="2D49A0DC" w14:textId="77777777" w:rsidR="00E00B5C" w:rsidRPr="00EC7E92" w:rsidRDefault="00E00B5C" w:rsidP="00F7178D">
            <w:pPr>
              <w:jc w:val="right"/>
              <w:rPr>
                <w:rFonts w:cs="Arial"/>
                <w:sz w:val="22"/>
                <w:szCs w:val="22"/>
              </w:rPr>
            </w:pPr>
            <w:r w:rsidRPr="00EC7E92">
              <w:rPr>
                <w:rFonts w:cs="Arial"/>
                <w:sz w:val="22"/>
                <w:szCs w:val="22"/>
              </w:rPr>
              <w:t>39</w:t>
            </w:r>
          </w:p>
        </w:tc>
        <w:tc>
          <w:tcPr>
            <w:tcW w:w="803" w:type="dxa"/>
            <w:tcBorders>
              <w:top w:val="nil"/>
              <w:left w:val="single" w:sz="4" w:space="0" w:color="auto"/>
              <w:bottom w:val="single" w:sz="4" w:space="0" w:color="auto"/>
              <w:right w:val="single" w:sz="4" w:space="0" w:color="auto"/>
            </w:tcBorders>
            <w:vAlign w:val="center"/>
          </w:tcPr>
          <w:p w14:paraId="7CACF26F" w14:textId="77777777" w:rsidR="00E00B5C" w:rsidRPr="00EC7E92" w:rsidRDefault="00E00B5C" w:rsidP="00F7178D">
            <w:pPr>
              <w:jc w:val="right"/>
              <w:rPr>
                <w:rFonts w:cs="Arial"/>
                <w:sz w:val="22"/>
                <w:szCs w:val="22"/>
              </w:rPr>
            </w:pPr>
            <w:r w:rsidRPr="00EC7E92">
              <w:rPr>
                <w:rFonts w:cs="Arial"/>
                <w:sz w:val="22"/>
                <w:szCs w:val="22"/>
              </w:rPr>
              <w:t>26</w:t>
            </w:r>
          </w:p>
        </w:tc>
        <w:tc>
          <w:tcPr>
            <w:tcW w:w="803" w:type="dxa"/>
            <w:tcBorders>
              <w:top w:val="nil"/>
              <w:left w:val="nil"/>
              <w:bottom w:val="single" w:sz="4" w:space="0" w:color="auto"/>
              <w:right w:val="single" w:sz="4" w:space="0" w:color="auto"/>
            </w:tcBorders>
            <w:vAlign w:val="center"/>
          </w:tcPr>
          <w:p w14:paraId="11DD765A" w14:textId="77777777" w:rsidR="00E00B5C" w:rsidRPr="00EC7E92" w:rsidRDefault="00E00B5C" w:rsidP="00F7178D">
            <w:pPr>
              <w:jc w:val="right"/>
              <w:rPr>
                <w:rFonts w:cs="Arial"/>
                <w:sz w:val="22"/>
                <w:szCs w:val="22"/>
              </w:rPr>
            </w:pPr>
            <w:r w:rsidRPr="00EC7E92">
              <w:rPr>
                <w:rFonts w:cs="Arial"/>
                <w:sz w:val="22"/>
                <w:szCs w:val="22"/>
              </w:rPr>
              <w:t>36</w:t>
            </w:r>
          </w:p>
        </w:tc>
        <w:tc>
          <w:tcPr>
            <w:tcW w:w="1276" w:type="dxa"/>
            <w:tcBorders>
              <w:top w:val="nil"/>
              <w:left w:val="nil"/>
              <w:bottom w:val="single" w:sz="4" w:space="0" w:color="auto"/>
              <w:right w:val="single" w:sz="4" w:space="0" w:color="auto"/>
            </w:tcBorders>
          </w:tcPr>
          <w:p w14:paraId="78120F11" w14:textId="77777777" w:rsidR="00E00B5C" w:rsidRPr="00EC7E92" w:rsidRDefault="00E00B5C" w:rsidP="00F7178D">
            <w:pPr>
              <w:jc w:val="right"/>
              <w:rPr>
                <w:rFonts w:cs="Arial"/>
                <w:sz w:val="22"/>
                <w:szCs w:val="22"/>
              </w:rPr>
            </w:pPr>
            <w:r w:rsidRPr="00EC7E92">
              <w:rPr>
                <w:rFonts w:cs="Arial"/>
                <w:sz w:val="22"/>
                <w:szCs w:val="22"/>
              </w:rPr>
              <w:t>k.</w:t>
            </w:r>
            <w:r w:rsidR="00004162" w:rsidRPr="00EC7E92">
              <w:rPr>
                <w:rFonts w:cs="Arial"/>
                <w:sz w:val="22"/>
                <w:szCs w:val="22"/>
              </w:rPr>
              <w:t xml:space="preserve"> </w:t>
            </w:r>
            <w:r w:rsidRPr="00EC7E92">
              <w:rPr>
                <w:rFonts w:cs="Arial"/>
                <w:sz w:val="22"/>
                <w:szCs w:val="22"/>
              </w:rPr>
              <w:t>A.</w:t>
            </w:r>
          </w:p>
        </w:tc>
      </w:tr>
    </w:tbl>
    <w:p w14:paraId="0A992043" w14:textId="77777777" w:rsidR="004F56A1" w:rsidRPr="00EC7E92" w:rsidRDefault="004F56A1" w:rsidP="00791E2A">
      <w:pPr>
        <w:rPr>
          <w:strike/>
        </w:rPr>
      </w:pPr>
    </w:p>
    <w:p w14:paraId="2F7764A3" w14:textId="77777777" w:rsidR="005D1251" w:rsidRPr="00EC7E92" w:rsidRDefault="005D1251" w:rsidP="005D1251">
      <w:pPr>
        <w:autoSpaceDE w:val="0"/>
        <w:autoSpaceDN w:val="0"/>
        <w:adjustRightInd w:val="0"/>
        <w:rPr>
          <w:b/>
        </w:rPr>
      </w:pPr>
      <w:r w:rsidRPr="00EC7E92">
        <w:rPr>
          <w:b/>
        </w:rPr>
        <w:t>Neue Bußgeldtatbestände der LMIDV</w:t>
      </w:r>
    </w:p>
    <w:p w14:paraId="125C80D5" w14:textId="77777777" w:rsidR="005D1251" w:rsidRPr="00EC7E92" w:rsidRDefault="005D1251" w:rsidP="005D1251">
      <w:pPr>
        <w:autoSpaceDE w:val="0"/>
        <w:autoSpaceDN w:val="0"/>
        <w:adjustRightInd w:val="0"/>
        <w:rPr>
          <w:b/>
        </w:rPr>
      </w:pPr>
    </w:p>
    <w:p w14:paraId="01C72707" w14:textId="77777777" w:rsidR="00A278B7" w:rsidRPr="00EC7E92" w:rsidRDefault="005D1251" w:rsidP="0026574F">
      <w:r w:rsidRPr="00EC7E92">
        <w:t>Die</w:t>
      </w:r>
      <w:r w:rsidR="00791E2A" w:rsidRPr="00EC7E92">
        <w:t xml:space="preserve"> </w:t>
      </w:r>
      <w:r w:rsidRPr="00EC7E92">
        <w:t xml:space="preserve">Neufassung der </w:t>
      </w:r>
      <w:r w:rsidR="00791E2A" w:rsidRPr="00EC7E92">
        <w:t xml:space="preserve">Lebensmittelinformationsdurchführungsverordnung (LMIDV) </w:t>
      </w:r>
      <w:r w:rsidRPr="00EC7E92">
        <w:t xml:space="preserve">ist </w:t>
      </w:r>
      <w:r w:rsidR="00791E2A" w:rsidRPr="00EC7E92">
        <w:t xml:space="preserve">zum 13.07.2017 </w:t>
      </w:r>
      <w:r w:rsidR="00004162" w:rsidRPr="00EC7E92">
        <w:t xml:space="preserve">in Kraft </w:t>
      </w:r>
      <w:r w:rsidRPr="00EC7E92">
        <w:t>getreten und</w:t>
      </w:r>
      <w:r w:rsidR="00791E2A" w:rsidRPr="00EC7E92">
        <w:t xml:space="preserve"> regelt die Ahndungsmöglichkeiten im Ordnungswidrigkeits- und Strafrecht</w:t>
      </w:r>
      <w:r w:rsidRPr="00EC7E92">
        <w:t>. D</w:t>
      </w:r>
      <w:r w:rsidR="00791E2A" w:rsidRPr="00EC7E92">
        <w:t xml:space="preserve">ie Tatbestände in einem Bußgeldbescheid </w:t>
      </w:r>
      <w:r w:rsidRPr="00EC7E92">
        <w:t xml:space="preserve">sind dadurch </w:t>
      </w:r>
      <w:r w:rsidR="00791E2A" w:rsidRPr="00EC7E92">
        <w:t xml:space="preserve">um die LMIDV erweitert worden und auch die Anordnungspunkte sind um ein Tun, Dulden und Unterlassen basierend auf der LMIDV ergänzt worden. </w:t>
      </w:r>
      <w:r w:rsidRPr="00EC7E92">
        <w:t>In 2017 gab es zunächst nur vereinzelte Fälle, seit 2018</w:t>
      </w:r>
      <w:r w:rsidR="00921164" w:rsidRPr="00EC7E92">
        <w:t xml:space="preserve"> sind etwa 200 Fälle jährlich zu verzeichnen.</w:t>
      </w:r>
    </w:p>
    <w:p w14:paraId="5030DB22" w14:textId="77777777" w:rsidR="003D7B0B" w:rsidRPr="00EC7E92" w:rsidRDefault="003D7B0B" w:rsidP="00165C0D">
      <w:pPr>
        <w:pStyle w:val="berschrift2"/>
      </w:pPr>
      <w:r w:rsidRPr="00EC7E92">
        <w:t>3.2</w:t>
      </w:r>
      <w:r w:rsidRPr="00EC7E92">
        <w:tab/>
        <w:t>Bisherige Aufgabenwahrnehmung</w:t>
      </w:r>
    </w:p>
    <w:p w14:paraId="7D538BE7" w14:textId="77777777" w:rsidR="003D7B0B" w:rsidRPr="00EC7E92" w:rsidRDefault="003D7B0B" w:rsidP="00884D6C"/>
    <w:p w14:paraId="092B2AFC" w14:textId="77777777" w:rsidR="003D7B0B" w:rsidRPr="00EC7E92" w:rsidRDefault="00571148" w:rsidP="00884D6C">
      <w:pPr>
        <w:rPr>
          <w:b/>
        </w:rPr>
      </w:pPr>
      <w:r w:rsidRPr="00EC7E92">
        <w:t xml:space="preserve">Verbraucherschutzrelevante Verwaltungsverfahren wurden zu Lasten der Sachbearbeitung von Ordnungswidrigkeiten und Gebührenbescheiden bearbeitet. Rückstände in diesem Bereich konnten in der </w:t>
      </w:r>
      <w:proofErr w:type="spellStart"/>
      <w:r w:rsidRPr="00EC7E92">
        <w:t>Coronazeit</w:t>
      </w:r>
      <w:proofErr w:type="spellEnd"/>
      <w:r w:rsidRPr="00EC7E92">
        <w:t xml:space="preserve"> aufgearbeitet werden, da die Kontrollzahlen rückläufig waren</w:t>
      </w:r>
      <w:r w:rsidR="004F56A1" w:rsidRPr="00EC7E92">
        <w:t>.</w:t>
      </w:r>
    </w:p>
    <w:p w14:paraId="581CC802" w14:textId="77777777" w:rsidR="003D7B0B" w:rsidRPr="00EC7E92" w:rsidRDefault="006E0575" w:rsidP="00884D6C">
      <w:pPr>
        <w:pStyle w:val="berschrift2"/>
      </w:pPr>
      <w:r w:rsidRPr="00EC7E92">
        <w:t>3.3</w:t>
      </w:r>
      <w:r w:rsidR="003D7B0B" w:rsidRPr="00EC7E92">
        <w:tab/>
        <w:t>Auswirkungen bei Ablehnung der Stellenschaffungen</w:t>
      </w:r>
    </w:p>
    <w:p w14:paraId="6331D2FC" w14:textId="77777777" w:rsidR="003D7B0B" w:rsidRPr="00EC7E92" w:rsidRDefault="003D7B0B" w:rsidP="00884D6C"/>
    <w:p w14:paraId="0977FAB9" w14:textId="77777777" w:rsidR="00B45AAC" w:rsidRPr="00EC7E92" w:rsidRDefault="00B45AAC" w:rsidP="00B45AAC">
      <w:r w:rsidRPr="00EC7E92">
        <w:t xml:space="preserve">Bei Ablehnung des Stellenplanantrags wird es zu längeren Bearbeitungszeiten bei Verwaltungsverfahren und folglich zu Defiziten im Verbraucherschutz kommen. Des </w:t>
      </w:r>
      <w:r w:rsidR="00AC7C5C" w:rsidRPr="00EC7E92">
        <w:t>W</w:t>
      </w:r>
      <w:r w:rsidRPr="00EC7E92">
        <w:t>eiteren werden die Rückstände bei der Bearbeitung von Ordnungswidrigkeitsanzeigen und Gebührenbescheiden weiter ansteigen</w:t>
      </w:r>
      <w:r w:rsidR="00AC7C5C" w:rsidRPr="00EC7E92">
        <w:t>, so dass</w:t>
      </w:r>
      <w:r w:rsidRPr="00EC7E92">
        <w:t xml:space="preserve"> hier Verjährungen eintreten werden. </w:t>
      </w:r>
    </w:p>
    <w:p w14:paraId="5ADA3145" w14:textId="77777777" w:rsidR="003D7B0B" w:rsidRPr="00EC7E92" w:rsidRDefault="00884D6C" w:rsidP="00884D6C">
      <w:pPr>
        <w:pStyle w:val="berschrift1"/>
      </w:pPr>
      <w:r w:rsidRPr="00EC7E92">
        <w:t>4</w:t>
      </w:r>
      <w:r w:rsidRPr="00EC7E92">
        <w:tab/>
      </w:r>
      <w:r w:rsidR="003D7B0B" w:rsidRPr="00EC7E92">
        <w:t>Stellenvermerke</w:t>
      </w:r>
    </w:p>
    <w:p w14:paraId="7FA10864" w14:textId="77777777" w:rsidR="003D7B0B" w:rsidRPr="00EC7E92" w:rsidRDefault="003D7B0B" w:rsidP="00884D6C"/>
    <w:p w14:paraId="5FCBECD9" w14:textId="77777777" w:rsidR="00DE362D" w:rsidRPr="00EC7E92" w:rsidRDefault="00A13AD4" w:rsidP="00884D6C">
      <w:r w:rsidRPr="00EC7E92">
        <w:t>keine</w:t>
      </w:r>
    </w:p>
    <w:sectPr w:rsidR="00DE362D" w:rsidRPr="00EC7E92"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31298" w14:textId="77777777" w:rsidR="00354E3C" w:rsidRDefault="00354E3C">
      <w:r>
        <w:separator/>
      </w:r>
    </w:p>
  </w:endnote>
  <w:endnote w:type="continuationSeparator" w:id="0">
    <w:p w14:paraId="4F271091" w14:textId="77777777" w:rsidR="00354E3C" w:rsidRDefault="003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73B5C" w14:textId="77777777" w:rsidR="00354E3C" w:rsidRDefault="00354E3C">
      <w:r>
        <w:separator/>
      </w:r>
    </w:p>
  </w:footnote>
  <w:footnote w:type="continuationSeparator" w:id="0">
    <w:p w14:paraId="60EC4F40" w14:textId="77777777" w:rsidR="00354E3C" w:rsidRDefault="003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3C5F" w14:textId="105B055B" w:rsidR="00354E3C" w:rsidRDefault="00354E3C">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FA4C04">
      <w:rPr>
        <w:rStyle w:val="Seitenzahl"/>
        <w:noProof/>
      </w:rPr>
      <w:t>3</w:t>
    </w:r>
    <w:r>
      <w:rPr>
        <w:rStyle w:val="Seitenzahl"/>
      </w:rPr>
      <w:fldChar w:fldCharType="end"/>
    </w:r>
    <w:r>
      <w:rPr>
        <w:rStyle w:val="Seitenzahl"/>
      </w:rPr>
      <w:t xml:space="preserve"> -</w:t>
    </w:r>
  </w:p>
  <w:p w14:paraId="3304C4FB" w14:textId="77777777" w:rsidR="00354E3C" w:rsidRDefault="00354E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9D"/>
    <w:rsid w:val="00004162"/>
    <w:rsid w:val="0000474C"/>
    <w:rsid w:val="000070AA"/>
    <w:rsid w:val="00020798"/>
    <w:rsid w:val="00045828"/>
    <w:rsid w:val="00055758"/>
    <w:rsid w:val="000916A3"/>
    <w:rsid w:val="0009520F"/>
    <w:rsid w:val="0009556C"/>
    <w:rsid w:val="000A1146"/>
    <w:rsid w:val="000B380D"/>
    <w:rsid w:val="000E1004"/>
    <w:rsid w:val="000F6DF0"/>
    <w:rsid w:val="001034AF"/>
    <w:rsid w:val="0011112B"/>
    <w:rsid w:val="001404D2"/>
    <w:rsid w:val="0014415D"/>
    <w:rsid w:val="00151488"/>
    <w:rsid w:val="0015154D"/>
    <w:rsid w:val="00163034"/>
    <w:rsid w:val="00164678"/>
    <w:rsid w:val="00165C0D"/>
    <w:rsid w:val="00181857"/>
    <w:rsid w:val="00184EDC"/>
    <w:rsid w:val="00193A20"/>
    <w:rsid w:val="00194770"/>
    <w:rsid w:val="00197140"/>
    <w:rsid w:val="001A5F9B"/>
    <w:rsid w:val="001C7871"/>
    <w:rsid w:val="001F7237"/>
    <w:rsid w:val="0022191A"/>
    <w:rsid w:val="00222BE7"/>
    <w:rsid w:val="00263C30"/>
    <w:rsid w:val="0026574F"/>
    <w:rsid w:val="002924CB"/>
    <w:rsid w:val="002A20D1"/>
    <w:rsid w:val="002A4DE3"/>
    <w:rsid w:val="002B5955"/>
    <w:rsid w:val="002F576C"/>
    <w:rsid w:val="00305083"/>
    <w:rsid w:val="0030686C"/>
    <w:rsid w:val="003126E7"/>
    <w:rsid w:val="00326C80"/>
    <w:rsid w:val="00327537"/>
    <w:rsid w:val="003314CE"/>
    <w:rsid w:val="00354E3C"/>
    <w:rsid w:val="0036203C"/>
    <w:rsid w:val="00380937"/>
    <w:rsid w:val="00391093"/>
    <w:rsid w:val="0039676E"/>
    <w:rsid w:val="00397717"/>
    <w:rsid w:val="003B46A7"/>
    <w:rsid w:val="003D3587"/>
    <w:rsid w:val="003D4AD1"/>
    <w:rsid w:val="003D7B0B"/>
    <w:rsid w:val="003E2341"/>
    <w:rsid w:val="003E65F3"/>
    <w:rsid w:val="003F0FAA"/>
    <w:rsid w:val="003F5DE5"/>
    <w:rsid w:val="003F73DF"/>
    <w:rsid w:val="00470135"/>
    <w:rsid w:val="0047606A"/>
    <w:rsid w:val="00481891"/>
    <w:rsid w:val="004908B5"/>
    <w:rsid w:val="0049121B"/>
    <w:rsid w:val="00493CD9"/>
    <w:rsid w:val="004A1688"/>
    <w:rsid w:val="004A4448"/>
    <w:rsid w:val="004A6CB6"/>
    <w:rsid w:val="004A73FB"/>
    <w:rsid w:val="004B6796"/>
    <w:rsid w:val="004C4BEB"/>
    <w:rsid w:val="004E01B6"/>
    <w:rsid w:val="004F56A1"/>
    <w:rsid w:val="0051080E"/>
    <w:rsid w:val="0053209A"/>
    <w:rsid w:val="00571148"/>
    <w:rsid w:val="0057411C"/>
    <w:rsid w:val="005A0A9D"/>
    <w:rsid w:val="005A56AA"/>
    <w:rsid w:val="005C3A89"/>
    <w:rsid w:val="005D07AB"/>
    <w:rsid w:val="005D1251"/>
    <w:rsid w:val="005D50B0"/>
    <w:rsid w:val="005E19C6"/>
    <w:rsid w:val="005E702A"/>
    <w:rsid w:val="005F5B3D"/>
    <w:rsid w:val="00600AC1"/>
    <w:rsid w:val="00606F80"/>
    <w:rsid w:val="00611069"/>
    <w:rsid w:val="00622CC7"/>
    <w:rsid w:val="0062421D"/>
    <w:rsid w:val="00640E53"/>
    <w:rsid w:val="00652866"/>
    <w:rsid w:val="00652CD7"/>
    <w:rsid w:val="00657244"/>
    <w:rsid w:val="0065756F"/>
    <w:rsid w:val="0066107E"/>
    <w:rsid w:val="00671A18"/>
    <w:rsid w:val="00697B1D"/>
    <w:rsid w:val="006A406B"/>
    <w:rsid w:val="006B0E39"/>
    <w:rsid w:val="006B6D50"/>
    <w:rsid w:val="006C777F"/>
    <w:rsid w:val="006E0575"/>
    <w:rsid w:val="006E091C"/>
    <w:rsid w:val="0072799A"/>
    <w:rsid w:val="00741EAD"/>
    <w:rsid w:val="00754659"/>
    <w:rsid w:val="00791E2A"/>
    <w:rsid w:val="007A5BDB"/>
    <w:rsid w:val="007A6D32"/>
    <w:rsid w:val="007C47CD"/>
    <w:rsid w:val="007D4447"/>
    <w:rsid w:val="007D7F1C"/>
    <w:rsid w:val="007E3B79"/>
    <w:rsid w:val="007E7A26"/>
    <w:rsid w:val="008066EE"/>
    <w:rsid w:val="00817BB6"/>
    <w:rsid w:val="00845321"/>
    <w:rsid w:val="00881E2F"/>
    <w:rsid w:val="00884D6C"/>
    <w:rsid w:val="008E490A"/>
    <w:rsid w:val="009151EF"/>
    <w:rsid w:val="00920F00"/>
    <w:rsid w:val="00921164"/>
    <w:rsid w:val="009373F6"/>
    <w:rsid w:val="00945B51"/>
    <w:rsid w:val="00947EB7"/>
    <w:rsid w:val="009636B3"/>
    <w:rsid w:val="00964129"/>
    <w:rsid w:val="00976588"/>
    <w:rsid w:val="00990242"/>
    <w:rsid w:val="009C158D"/>
    <w:rsid w:val="009C2022"/>
    <w:rsid w:val="009D242C"/>
    <w:rsid w:val="009E41DF"/>
    <w:rsid w:val="00A13AD4"/>
    <w:rsid w:val="00A22B5C"/>
    <w:rsid w:val="00A278B7"/>
    <w:rsid w:val="00A27CA7"/>
    <w:rsid w:val="00A45B30"/>
    <w:rsid w:val="00A70B91"/>
    <w:rsid w:val="00A71D0A"/>
    <w:rsid w:val="00A77F1E"/>
    <w:rsid w:val="00A847C4"/>
    <w:rsid w:val="00A95C82"/>
    <w:rsid w:val="00AB0DB4"/>
    <w:rsid w:val="00AB389D"/>
    <w:rsid w:val="00AB6455"/>
    <w:rsid w:val="00AC4E18"/>
    <w:rsid w:val="00AC7C5C"/>
    <w:rsid w:val="00AE7B02"/>
    <w:rsid w:val="00AF0070"/>
    <w:rsid w:val="00AF0DEA"/>
    <w:rsid w:val="00AF25E0"/>
    <w:rsid w:val="00B04290"/>
    <w:rsid w:val="00B45AAC"/>
    <w:rsid w:val="00B80DEF"/>
    <w:rsid w:val="00B8691A"/>
    <w:rsid w:val="00B86BB5"/>
    <w:rsid w:val="00B91903"/>
    <w:rsid w:val="00BB647B"/>
    <w:rsid w:val="00BC085E"/>
    <w:rsid w:val="00BC4669"/>
    <w:rsid w:val="00BE05D4"/>
    <w:rsid w:val="00BF53BF"/>
    <w:rsid w:val="00C16EF1"/>
    <w:rsid w:val="00C20295"/>
    <w:rsid w:val="00C448D3"/>
    <w:rsid w:val="00C50E03"/>
    <w:rsid w:val="00C66198"/>
    <w:rsid w:val="00C92A48"/>
    <w:rsid w:val="00C97AF8"/>
    <w:rsid w:val="00CA2103"/>
    <w:rsid w:val="00CE45F5"/>
    <w:rsid w:val="00CF62E5"/>
    <w:rsid w:val="00D40544"/>
    <w:rsid w:val="00D66D3A"/>
    <w:rsid w:val="00D743D4"/>
    <w:rsid w:val="00D838EB"/>
    <w:rsid w:val="00DB3D6C"/>
    <w:rsid w:val="00DE362D"/>
    <w:rsid w:val="00DF2041"/>
    <w:rsid w:val="00DF5373"/>
    <w:rsid w:val="00E00B5C"/>
    <w:rsid w:val="00E014B6"/>
    <w:rsid w:val="00E1162F"/>
    <w:rsid w:val="00E11D5F"/>
    <w:rsid w:val="00E20E1F"/>
    <w:rsid w:val="00E42F96"/>
    <w:rsid w:val="00E609FF"/>
    <w:rsid w:val="00E616E1"/>
    <w:rsid w:val="00E67C27"/>
    <w:rsid w:val="00E7118F"/>
    <w:rsid w:val="00E94ACB"/>
    <w:rsid w:val="00EC1024"/>
    <w:rsid w:val="00EC7E92"/>
    <w:rsid w:val="00ED6E3E"/>
    <w:rsid w:val="00EF4B83"/>
    <w:rsid w:val="00F2641C"/>
    <w:rsid w:val="00F27657"/>
    <w:rsid w:val="00F342DC"/>
    <w:rsid w:val="00F56F93"/>
    <w:rsid w:val="00F60040"/>
    <w:rsid w:val="00F63041"/>
    <w:rsid w:val="00F76452"/>
    <w:rsid w:val="00F90244"/>
    <w:rsid w:val="00FA4C04"/>
    <w:rsid w:val="00FD4B9D"/>
    <w:rsid w:val="00FD6B46"/>
    <w:rsid w:val="00FE30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12701"/>
  <w15:docId w15:val="{0A928251-369E-407D-9A07-9CEAB652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character" w:styleId="Hyperlink">
    <w:name w:val="Hyperlink"/>
    <w:basedOn w:val="Absatz-Standardschriftart"/>
    <w:unhideWhenUsed/>
    <w:rsid w:val="004C4BEB"/>
    <w:rPr>
      <w:color w:val="0000FF" w:themeColor="hyperlink"/>
      <w:u w:val="single"/>
    </w:rPr>
  </w:style>
  <w:style w:type="paragraph" w:styleId="Kommentarthema">
    <w:name w:val="annotation subject"/>
    <w:basedOn w:val="Kommentartext"/>
    <w:next w:val="Kommentartext"/>
    <w:link w:val="KommentarthemaZchn"/>
    <w:semiHidden/>
    <w:unhideWhenUsed/>
    <w:rsid w:val="007D7F1C"/>
    <w:rPr>
      <w:b/>
      <w:bCs/>
      <w:szCs w:val="20"/>
    </w:rPr>
  </w:style>
  <w:style w:type="character" w:customStyle="1" w:styleId="KommentartextZchn">
    <w:name w:val="Kommentartext Zchn"/>
    <w:basedOn w:val="Absatz-Standardschriftart"/>
    <w:link w:val="Kommentartext"/>
    <w:semiHidden/>
    <w:rsid w:val="007D7F1C"/>
    <w:rPr>
      <w:sz w:val="20"/>
    </w:rPr>
  </w:style>
  <w:style w:type="character" w:customStyle="1" w:styleId="KommentarthemaZchn">
    <w:name w:val="Kommentarthema Zchn"/>
    <w:basedOn w:val="KommentartextZchn"/>
    <w:link w:val="Kommentarthema"/>
    <w:semiHidden/>
    <w:rsid w:val="007D7F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rbraucherinfo-b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k021\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3</Pages>
  <Words>725</Words>
  <Characters>5044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Frohnert, Petra</dc:creator>
  <cp:lastModifiedBy>Baumann, Gerhard</cp:lastModifiedBy>
  <cp:revision>27</cp:revision>
  <cp:lastPrinted>2021-09-30T11:08:00Z</cp:lastPrinted>
  <dcterms:created xsi:type="dcterms:W3CDTF">2021-01-28T10:17:00Z</dcterms:created>
  <dcterms:modified xsi:type="dcterms:W3CDTF">2021-09-30T11:08:00Z</dcterms:modified>
</cp:coreProperties>
</file>