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FC6D83">
        <w:rPr>
          <w:szCs w:val="24"/>
        </w:rPr>
        <w:t>6</w:t>
      </w:r>
      <w:r w:rsidRPr="006E0575">
        <w:rPr>
          <w:szCs w:val="24"/>
        </w:rPr>
        <w:t xml:space="preserve"> zur GRDrs </w:t>
      </w:r>
      <w:r w:rsidR="00FC6D83">
        <w:rPr>
          <w:szCs w:val="24"/>
        </w:rPr>
        <w:t>705</w:t>
      </w:r>
      <w:r w:rsidR="005F5B3D">
        <w:rPr>
          <w:szCs w:val="24"/>
        </w:rPr>
        <w:t>/20</w:t>
      </w:r>
      <w:r w:rsidR="001048B1">
        <w:rPr>
          <w:szCs w:val="24"/>
        </w:rPr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1048B1">
        <w:rPr>
          <w:b/>
          <w:sz w:val="36"/>
          <w:u w:val="single"/>
        </w:rPr>
        <w:t>22</w:t>
      </w:r>
    </w:p>
    <w:p w:rsidR="003D7B0B" w:rsidRDefault="003D7B0B" w:rsidP="006E057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526"/>
      </w:tblGrid>
      <w:tr w:rsidR="005F5B3D" w:rsidRPr="006E0575" w:rsidTr="008772E2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26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712627" w:rsidRPr="006E0575" w:rsidTr="008772E2">
        <w:tc>
          <w:tcPr>
            <w:tcW w:w="1814" w:type="dxa"/>
          </w:tcPr>
          <w:p w:rsidR="00712627" w:rsidRDefault="00712627" w:rsidP="00861AC0">
            <w:pPr>
              <w:rPr>
                <w:sz w:val="20"/>
              </w:rPr>
            </w:pPr>
          </w:p>
          <w:p w:rsidR="00712627" w:rsidRPr="00712627" w:rsidRDefault="00712627" w:rsidP="00861AC0">
            <w:pPr>
              <w:rPr>
                <w:b/>
                <w:sz w:val="20"/>
                <w:u w:val="single"/>
              </w:rPr>
            </w:pPr>
            <w:r w:rsidRPr="00712627">
              <w:rPr>
                <w:b/>
                <w:sz w:val="20"/>
                <w:u w:val="single"/>
              </w:rPr>
              <w:t>29-</w:t>
            </w:r>
            <w:r w:rsidR="00D12C23">
              <w:rPr>
                <w:b/>
                <w:sz w:val="20"/>
                <w:u w:val="single"/>
              </w:rPr>
              <w:t>Ost</w:t>
            </w:r>
          </w:p>
          <w:p w:rsidR="00712627" w:rsidRDefault="006D1655" w:rsidP="00861AC0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000C62">
              <w:rPr>
                <w:sz w:val="20"/>
              </w:rPr>
              <w:t>0 0</w:t>
            </w:r>
            <w:r w:rsidR="00712627">
              <w:rPr>
                <w:sz w:val="20"/>
              </w:rPr>
              <w:t>7</w:t>
            </w:r>
            <w:r w:rsidR="00000C62">
              <w:rPr>
                <w:sz w:val="20"/>
              </w:rPr>
              <w:t>00</w:t>
            </w:r>
          </w:p>
          <w:p w:rsidR="00712627" w:rsidRDefault="001A6059" w:rsidP="00861AC0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6D1655">
              <w:rPr>
                <w:sz w:val="20"/>
              </w:rPr>
              <w:t xml:space="preserve"> </w:t>
            </w:r>
            <w:r>
              <w:rPr>
                <w:sz w:val="20"/>
              </w:rPr>
              <w:t>502</w:t>
            </w:r>
            <w:r w:rsidR="00712627">
              <w:rPr>
                <w:sz w:val="20"/>
              </w:rPr>
              <w:t>0</w:t>
            </w:r>
          </w:p>
          <w:p w:rsidR="00712627" w:rsidRDefault="00712627" w:rsidP="00861AC0">
            <w:pPr>
              <w:rPr>
                <w:sz w:val="20"/>
              </w:rPr>
            </w:pPr>
          </w:p>
          <w:p w:rsidR="00712627" w:rsidRDefault="006D1655" w:rsidP="00712627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000C62">
              <w:rPr>
                <w:sz w:val="20"/>
              </w:rPr>
              <w:t>0 0</w:t>
            </w:r>
            <w:r w:rsidR="00712627">
              <w:rPr>
                <w:sz w:val="20"/>
              </w:rPr>
              <w:t>7</w:t>
            </w:r>
            <w:r w:rsidR="00000C62">
              <w:rPr>
                <w:sz w:val="20"/>
              </w:rPr>
              <w:t>00</w:t>
            </w:r>
          </w:p>
          <w:p w:rsidR="00712627" w:rsidRDefault="00D12C23" w:rsidP="00712627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6D1655">
              <w:rPr>
                <w:sz w:val="20"/>
              </w:rPr>
              <w:t xml:space="preserve"> </w:t>
            </w:r>
            <w:r>
              <w:rPr>
                <w:sz w:val="20"/>
              </w:rPr>
              <w:t>502</w:t>
            </w:r>
            <w:r w:rsidR="00712627">
              <w:rPr>
                <w:sz w:val="20"/>
              </w:rPr>
              <w:t>0</w:t>
            </w:r>
          </w:p>
          <w:p w:rsidR="00712627" w:rsidRDefault="00712627" w:rsidP="00861AC0">
            <w:pPr>
              <w:rPr>
                <w:sz w:val="20"/>
              </w:rPr>
            </w:pPr>
          </w:p>
          <w:p w:rsidR="00712627" w:rsidRPr="006E0575" w:rsidRDefault="00712627" w:rsidP="00D12C2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712627" w:rsidRDefault="00712627" w:rsidP="00861AC0">
            <w:pPr>
              <w:rPr>
                <w:sz w:val="20"/>
              </w:rPr>
            </w:pPr>
          </w:p>
          <w:p w:rsidR="00712627" w:rsidRDefault="00712627" w:rsidP="00861AC0">
            <w:pPr>
              <w:rPr>
                <w:sz w:val="20"/>
              </w:rPr>
            </w:pPr>
            <w:r>
              <w:rPr>
                <w:sz w:val="20"/>
              </w:rPr>
              <w:t>Jobcenter</w:t>
            </w:r>
          </w:p>
          <w:p w:rsidR="00712627" w:rsidRPr="006E0575" w:rsidRDefault="00712627" w:rsidP="00861AC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712627" w:rsidRDefault="00712627" w:rsidP="00712627">
            <w:pPr>
              <w:jc w:val="center"/>
              <w:rPr>
                <w:sz w:val="20"/>
              </w:rPr>
            </w:pPr>
          </w:p>
          <w:p w:rsidR="00712627" w:rsidRDefault="00D12C23" w:rsidP="007126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712627" w:rsidRDefault="00712627" w:rsidP="00712627">
            <w:pPr>
              <w:jc w:val="center"/>
              <w:rPr>
                <w:sz w:val="20"/>
              </w:rPr>
            </w:pPr>
          </w:p>
          <w:p w:rsidR="00712627" w:rsidRDefault="00712627" w:rsidP="00712627">
            <w:pPr>
              <w:rPr>
                <w:sz w:val="20"/>
              </w:rPr>
            </w:pPr>
          </w:p>
          <w:p w:rsidR="008A72C4" w:rsidRDefault="008A72C4" w:rsidP="00712627">
            <w:pPr>
              <w:rPr>
                <w:sz w:val="20"/>
              </w:rPr>
            </w:pPr>
          </w:p>
          <w:p w:rsidR="008772E2" w:rsidRDefault="008772E2" w:rsidP="00712627">
            <w:pPr>
              <w:rPr>
                <w:sz w:val="20"/>
              </w:rPr>
            </w:pPr>
          </w:p>
          <w:p w:rsidR="00712627" w:rsidRDefault="00D12C23" w:rsidP="007126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712627" w:rsidRDefault="00712627" w:rsidP="00712627">
            <w:pPr>
              <w:rPr>
                <w:sz w:val="20"/>
              </w:rPr>
            </w:pPr>
          </w:p>
          <w:p w:rsidR="00712627" w:rsidRPr="006E0575" w:rsidRDefault="00712627" w:rsidP="00712627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712627" w:rsidRDefault="00712627" w:rsidP="00712627">
            <w:pPr>
              <w:rPr>
                <w:sz w:val="20"/>
              </w:rPr>
            </w:pPr>
          </w:p>
          <w:p w:rsidR="00712627" w:rsidRDefault="00712627" w:rsidP="00712627">
            <w:pPr>
              <w:rPr>
                <w:sz w:val="20"/>
              </w:rPr>
            </w:pPr>
            <w:r>
              <w:rPr>
                <w:sz w:val="20"/>
              </w:rPr>
              <w:t>Sachgebietsleit</w:t>
            </w:r>
            <w:r w:rsidR="006D1655">
              <w:rPr>
                <w:sz w:val="20"/>
              </w:rPr>
              <w:t>er/</w:t>
            </w:r>
            <w:r w:rsidR="006D1655">
              <w:rPr>
                <w:sz w:val="20"/>
              </w:rPr>
              <w:br/>
              <w:t>-in</w:t>
            </w:r>
            <w:r>
              <w:rPr>
                <w:sz w:val="20"/>
              </w:rPr>
              <w:t xml:space="preserve"> Sicherung des Lebensunterhalts </w:t>
            </w:r>
          </w:p>
          <w:p w:rsidR="008A72C4" w:rsidRDefault="008A72C4" w:rsidP="00712627">
            <w:pPr>
              <w:rPr>
                <w:sz w:val="20"/>
              </w:rPr>
            </w:pPr>
          </w:p>
          <w:p w:rsidR="008772E2" w:rsidRDefault="008772E2" w:rsidP="00712627">
            <w:pPr>
              <w:rPr>
                <w:sz w:val="20"/>
              </w:rPr>
            </w:pPr>
          </w:p>
          <w:p w:rsidR="00712627" w:rsidRPr="006E0575" w:rsidRDefault="00712627" w:rsidP="006D1655">
            <w:pPr>
              <w:rPr>
                <w:sz w:val="20"/>
              </w:rPr>
            </w:pPr>
            <w:r>
              <w:rPr>
                <w:sz w:val="20"/>
              </w:rPr>
              <w:t>Sachgebietsleit</w:t>
            </w:r>
            <w:r w:rsidR="006D1655">
              <w:rPr>
                <w:sz w:val="20"/>
              </w:rPr>
              <w:t>er/</w:t>
            </w:r>
            <w:r w:rsidR="006D1655">
              <w:rPr>
                <w:sz w:val="20"/>
              </w:rPr>
              <w:br/>
              <w:t>-in</w:t>
            </w:r>
            <w:r>
              <w:rPr>
                <w:sz w:val="20"/>
              </w:rPr>
              <w:t xml:space="preserve"> Eingliederung in Arbeit</w:t>
            </w:r>
          </w:p>
        </w:tc>
        <w:tc>
          <w:tcPr>
            <w:tcW w:w="737" w:type="dxa"/>
            <w:shd w:val="pct12" w:color="auto" w:fill="FFFFFF"/>
          </w:tcPr>
          <w:p w:rsidR="00712627" w:rsidRDefault="00712627" w:rsidP="00861AC0">
            <w:pPr>
              <w:jc w:val="center"/>
              <w:rPr>
                <w:sz w:val="20"/>
              </w:rPr>
            </w:pPr>
          </w:p>
          <w:p w:rsidR="00712627" w:rsidRPr="00712627" w:rsidRDefault="008A72C4" w:rsidP="00861A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  <w:r w:rsidR="00712627">
              <w:rPr>
                <w:sz w:val="20"/>
              </w:rPr>
              <w:t>0</w:t>
            </w:r>
          </w:p>
          <w:p w:rsidR="00712627" w:rsidRPr="00712627" w:rsidRDefault="00712627" w:rsidP="00861AC0">
            <w:pPr>
              <w:jc w:val="center"/>
              <w:rPr>
                <w:sz w:val="20"/>
              </w:rPr>
            </w:pPr>
          </w:p>
          <w:p w:rsidR="00712627" w:rsidRPr="00712627" w:rsidRDefault="00712627" w:rsidP="00861AC0">
            <w:pPr>
              <w:jc w:val="center"/>
              <w:rPr>
                <w:sz w:val="20"/>
              </w:rPr>
            </w:pPr>
          </w:p>
          <w:p w:rsidR="00712627" w:rsidRDefault="00712627" w:rsidP="00861AC0">
            <w:pPr>
              <w:jc w:val="center"/>
              <w:rPr>
                <w:sz w:val="20"/>
              </w:rPr>
            </w:pPr>
          </w:p>
          <w:p w:rsidR="008772E2" w:rsidRPr="00712627" w:rsidRDefault="008772E2" w:rsidP="00861AC0">
            <w:pPr>
              <w:jc w:val="center"/>
              <w:rPr>
                <w:sz w:val="20"/>
              </w:rPr>
            </w:pPr>
          </w:p>
          <w:p w:rsidR="00712627" w:rsidRDefault="008A72C4" w:rsidP="00861A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  <w:r w:rsidR="00D12C23">
              <w:rPr>
                <w:sz w:val="20"/>
              </w:rPr>
              <w:t>0</w:t>
            </w:r>
          </w:p>
          <w:p w:rsidR="00712627" w:rsidRDefault="00712627" w:rsidP="00861AC0">
            <w:pPr>
              <w:jc w:val="center"/>
              <w:rPr>
                <w:sz w:val="20"/>
              </w:rPr>
            </w:pPr>
          </w:p>
          <w:p w:rsidR="00712627" w:rsidRPr="007246B5" w:rsidRDefault="00712627" w:rsidP="00861A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712627" w:rsidRDefault="00712627" w:rsidP="008A6853">
            <w:pPr>
              <w:rPr>
                <w:sz w:val="20"/>
              </w:rPr>
            </w:pPr>
          </w:p>
          <w:p w:rsidR="00712627" w:rsidRPr="006E0575" w:rsidRDefault="00302D9A" w:rsidP="008A6853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26" w:type="dxa"/>
          </w:tcPr>
          <w:p w:rsidR="00712627" w:rsidRDefault="00712627" w:rsidP="008A6853">
            <w:pPr>
              <w:rPr>
                <w:sz w:val="20"/>
              </w:rPr>
            </w:pPr>
          </w:p>
          <w:p w:rsidR="008772E2" w:rsidRDefault="004B7114" w:rsidP="00D12C23">
            <w:pPr>
              <w:rPr>
                <w:sz w:val="20"/>
              </w:rPr>
            </w:pPr>
            <w:r>
              <w:rPr>
                <w:sz w:val="20"/>
              </w:rPr>
              <w:t>30.210</w:t>
            </w:r>
          </w:p>
          <w:p w:rsidR="008772E2" w:rsidRDefault="008772E2" w:rsidP="00D12C23">
            <w:pPr>
              <w:rPr>
                <w:sz w:val="20"/>
              </w:rPr>
            </w:pPr>
          </w:p>
          <w:p w:rsidR="00D12C23" w:rsidRDefault="008772E2" w:rsidP="00D12C23">
            <w:pPr>
              <w:rPr>
                <w:sz w:val="20"/>
              </w:rPr>
            </w:pPr>
            <w:r>
              <w:rPr>
                <w:sz w:val="20"/>
              </w:rPr>
              <w:t>(davon 25.678 hh-neutral</w:t>
            </w:r>
            <w:r w:rsidR="00D12C23">
              <w:rPr>
                <w:sz w:val="20"/>
              </w:rPr>
              <w:t>*)</w:t>
            </w:r>
          </w:p>
          <w:p w:rsidR="006D777D" w:rsidRDefault="006D777D" w:rsidP="008A6853">
            <w:pPr>
              <w:rPr>
                <w:sz w:val="20"/>
              </w:rPr>
            </w:pPr>
          </w:p>
          <w:p w:rsidR="008772E2" w:rsidRDefault="004B7114" w:rsidP="00D12C23">
            <w:pPr>
              <w:rPr>
                <w:sz w:val="20"/>
              </w:rPr>
            </w:pPr>
            <w:r>
              <w:rPr>
                <w:sz w:val="20"/>
              </w:rPr>
              <w:t>44.480</w:t>
            </w:r>
          </w:p>
          <w:p w:rsidR="008772E2" w:rsidRDefault="008772E2" w:rsidP="00D12C23">
            <w:pPr>
              <w:rPr>
                <w:sz w:val="20"/>
              </w:rPr>
            </w:pPr>
          </w:p>
          <w:p w:rsidR="00D12C23" w:rsidRDefault="008772E2" w:rsidP="00D12C23">
            <w:pPr>
              <w:rPr>
                <w:sz w:val="20"/>
              </w:rPr>
            </w:pPr>
            <w:r>
              <w:rPr>
                <w:sz w:val="20"/>
              </w:rPr>
              <w:t>(davon 37.808 hh-neutral</w:t>
            </w:r>
            <w:bookmarkStart w:id="0" w:name="_GoBack"/>
            <w:bookmarkEnd w:id="0"/>
            <w:r w:rsidR="00D12C23">
              <w:rPr>
                <w:sz w:val="20"/>
              </w:rPr>
              <w:t>*)</w:t>
            </w:r>
          </w:p>
          <w:p w:rsidR="006D777D" w:rsidRDefault="006D777D" w:rsidP="006D777D">
            <w:pPr>
              <w:rPr>
                <w:sz w:val="20"/>
              </w:rPr>
            </w:pPr>
          </w:p>
          <w:p w:rsidR="006D777D" w:rsidRPr="006E0575" w:rsidRDefault="006D777D" w:rsidP="008A6853">
            <w:pPr>
              <w:rPr>
                <w:sz w:val="20"/>
              </w:rPr>
            </w:pPr>
          </w:p>
        </w:tc>
      </w:tr>
    </w:tbl>
    <w:p w:rsidR="006562D5" w:rsidRPr="00F15BA3" w:rsidRDefault="006562D5" w:rsidP="006562D5">
      <w:pPr>
        <w:pStyle w:val="berschrift1"/>
        <w:spacing w:before="120"/>
        <w:rPr>
          <w:rFonts w:ascii="Helv" w:hAnsi="Helv" w:cs="Helv"/>
          <w:b w:val="0"/>
          <w:color w:val="000000"/>
          <w:sz w:val="16"/>
          <w:szCs w:val="16"/>
          <w:u w:val="none"/>
        </w:rPr>
      </w:pPr>
      <w:r w:rsidRPr="00F15BA3">
        <w:rPr>
          <w:b w:val="0"/>
          <w:sz w:val="16"/>
          <w:szCs w:val="16"/>
          <w:u w:val="none"/>
        </w:rPr>
        <w:t>*)</w:t>
      </w:r>
      <w:r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 xml:space="preserve">   Gemäß Kommunalträger-Abrechnungsverwaltungsvorschrift (KoA-VV) erfolgt die Abrechnung der Personalkosten fachspezifischer Stellen mit dem Bund spitz, für die Personalneben-, Sach- und Gemeinkosten werden Pauschalen zugrunde gelegt. Der Anteil des Bundes an den Kosten beträgt 84,8 Prozent, der kommunale Finanzierungsanteil (KFA) beträgt 15,2 Prozent.</w:t>
      </w:r>
    </w:p>
    <w:p w:rsidR="006562D5" w:rsidRDefault="006562D5" w:rsidP="006562D5">
      <w:pPr>
        <w:pStyle w:val="berschrift1"/>
        <w:spacing w:before="0"/>
        <w:ind w:firstLine="0"/>
      </w:pPr>
      <w:r w:rsidRPr="00F15BA3">
        <w:rPr>
          <w:rFonts w:ascii="Helv" w:hAnsi="Helv" w:cs="Helv"/>
          <w:b w:val="0"/>
          <w:color w:val="000000"/>
          <w:sz w:val="16"/>
          <w:szCs w:val="16"/>
          <w:u w:val="none"/>
        </w:rPr>
        <w:t>Soweit die Stelle mit einem/einer Beschäftigten nach TVöD besetzt wird, übersteigt die Erstattung des Bundes - inklusive aller Pauschalen - den kostenwirksamen Aufwand, der bei der LHS für die Stelle entsteht. Wird die Stelle mit einem Beamten/einer Beamtin besetzt, kommt es in Höhe der Differenz der Versorgungsaufwendungen der LHS und der anzusetzenden Pauschale von 35 Prozent zu einem Finanzierungsbedarf.</w:t>
      </w:r>
    </w:p>
    <w:p w:rsidR="003D7B0B" w:rsidRPr="00367BB6" w:rsidRDefault="006E0575" w:rsidP="00884D6C">
      <w:pPr>
        <w:pStyle w:val="berschrift1"/>
        <w:rPr>
          <w:rFonts w:cs="Arial"/>
          <w:szCs w:val="24"/>
        </w:rPr>
      </w:pPr>
      <w:r w:rsidRPr="00367BB6">
        <w:rPr>
          <w:rFonts w:cs="Arial"/>
          <w:szCs w:val="24"/>
        </w:rPr>
        <w:t>1</w:t>
      </w:r>
      <w:r w:rsidR="00884D6C" w:rsidRPr="00367BB6">
        <w:rPr>
          <w:rFonts w:cs="Arial"/>
          <w:szCs w:val="24"/>
        </w:rPr>
        <w:tab/>
      </w:r>
      <w:r w:rsidR="003D7B0B" w:rsidRPr="00367BB6">
        <w:rPr>
          <w:rFonts w:cs="Arial"/>
          <w:szCs w:val="24"/>
        </w:rPr>
        <w:t>Antrag, Stellenausstattung</w:t>
      </w:r>
    </w:p>
    <w:p w:rsidR="00D12C23" w:rsidRPr="00367BB6" w:rsidRDefault="00FC6D83" w:rsidP="00DD1ECF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Geschaffen werden</w:t>
      </w:r>
      <w:r w:rsidR="008A72C4">
        <w:rPr>
          <w:rStyle w:val="CharacterStyle1"/>
          <w:rFonts w:ascii="Arial" w:hAnsi="Arial" w:cs="Arial"/>
          <w:sz w:val="24"/>
          <w:szCs w:val="24"/>
        </w:rPr>
        <w:t xml:space="preserve"> 0,3</w:t>
      </w:r>
      <w:r w:rsidR="001048B1">
        <w:rPr>
          <w:rStyle w:val="CharacterStyle1"/>
          <w:rFonts w:ascii="Arial" w:hAnsi="Arial" w:cs="Arial"/>
          <w:sz w:val="24"/>
          <w:szCs w:val="24"/>
        </w:rPr>
        <w:t>0</w:t>
      </w:r>
      <w:r w:rsidR="00D12C23">
        <w:rPr>
          <w:rStyle w:val="CharacterStyle1"/>
          <w:rFonts w:ascii="Arial" w:hAnsi="Arial" w:cs="Arial"/>
          <w:sz w:val="24"/>
          <w:szCs w:val="24"/>
        </w:rPr>
        <w:t xml:space="preserve"> Stellen</w:t>
      </w:r>
      <w:r>
        <w:rPr>
          <w:rStyle w:val="CharacterStyle1"/>
          <w:rFonts w:ascii="Arial" w:hAnsi="Arial" w:cs="Arial"/>
          <w:sz w:val="24"/>
          <w:szCs w:val="24"/>
        </w:rPr>
        <w:t>anteile</w:t>
      </w:r>
      <w:r w:rsidR="008A72C4">
        <w:rPr>
          <w:rStyle w:val="CharacterStyle1"/>
          <w:rFonts w:ascii="Arial" w:hAnsi="Arial" w:cs="Arial"/>
          <w:sz w:val="24"/>
          <w:szCs w:val="24"/>
        </w:rPr>
        <w:t xml:space="preserve"> </w:t>
      </w:r>
      <w:r w:rsidR="00DD1ECF" w:rsidRPr="00367BB6">
        <w:rPr>
          <w:rStyle w:val="CharacterStyle1"/>
          <w:rFonts w:ascii="Arial" w:hAnsi="Arial" w:cs="Arial"/>
          <w:sz w:val="24"/>
          <w:szCs w:val="24"/>
        </w:rPr>
        <w:t xml:space="preserve">Sachgebietsleitung </w:t>
      </w:r>
      <w:r w:rsidR="009A1D03" w:rsidRPr="00367BB6">
        <w:rPr>
          <w:rStyle w:val="CharacterStyle1"/>
          <w:rFonts w:ascii="Arial" w:hAnsi="Arial" w:cs="Arial"/>
          <w:sz w:val="24"/>
          <w:szCs w:val="24"/>
        </w:rPr>
        <w:t>Sich</w:t>
      </w:r>
      <w:r w:rsidR="00D12C23">
        <w:rPr>
          <w:rStyle w:val="CharacterStyle1"/>
          <w:rFonts w:ascii="Arial" w:hAnsi="Arial" w:cs="Arial"/>
          <w:sz w:val="24"/>
          <w:szCs w:val="24"/>
        </w:rPr>
        <w:t>erung des Lebensunterhalts und 0</w:t>
      </w:r>
      <w:r w:rsidR="009A1D03" w:rsidRPr="00367BB6">
        <w:rPr>
          <w:rStyle w:val="CharacterStyle1"/>
          <w:rFonts w:ascii="Arial" w:hAnsi="Arial" w:cs="Arial"/>
          <w:sz w:val="24"/>
          <w:szCs w:val="24"/>
        </w:rPr>
        <w:t>,</w:t>
      </w:r>
      <w:r w:rsidR="008A72C4">
        <w:rPr>
          <w:rStyle w:val="CharacterStyle1"/>
          <w:rFonts w:ascii="Arial" w:hAnsi="Arial" w:cs="Arial"/>
          <w:sz w:val="24"/>
          <w:szCs w:val="24"/>
        </w:rPr>
        <w:t>4</w:t>
      </w:r>
      <w:r w:rsidR="001048B1">
        <w:rPr>
          <w:rStyle w:val="CharacterStyle1"/>
          <w:rFonts w:ascii="Arial" w:hAnsi="Arial" w:cs="Arial"/>
          <w:sz w:val="24"/>
          <w:szCs w:val="24"/>
        </w:rPr>
        <w:t>0</w:t>
      </w:r>
      <w:r w:rsidR="009A1D03" w:rsidRPr="00367BB6">
        <w:rPr>
          <w:rStyle w:val="CharacterStyle1"/>
          <w:rFonts w:ascii="Arial" w:hAnsi="Arial" w:cs="Arial"/>
          <w:sz w:val="24"/>
          <w:szCs w:val="24"/>
        </w:rPr>
        <w:t xml:space="preserve"> Stellen</w:t>
      </w:r>
      <w:r>
        <w:rPr>
          <w:rStyle w:val="CharacterStyle1"/>
          <w:rFonts w:ascii="Arial" w:hAnsi="Arial" w:cs="Arial"/>
          <w:sz w:val="24"/>
          <w:szCs w:val="24"/>
        </w:rPr>
        <w:t>anteile</w:t>
      </w:r>
      <w:r w:rsidR="009A1D03" w:rsidRPr="00367BB6">
        <w:rPr>
          <w:rStyle w:val="CharacterStyle1"/>
          <w:rFonts w:ascii="Arial" w:hAnsi="Arial" w:cs="Arial"/>
          <w:sz w:val="24"/>
          <w:szCs w:val="24"/>
        </w:rPr>
        <w:t xml:space="preserve"> Sachgebietsleitung Eingliederung in Arbeit</w:t>
      </w:r>
      <w:r w:rsidR="008A72C4">
        <w:rPr>
          <w:rStyle w:val="CharacterStyle1"/>
          <w:rFonts w:ascii="Arial" w:hAnsi="Arial" w:cs="Arial"/>
          <w:sz w:val="24"/>
          <w:szCs w:val="24"/>
        </w:rPr>
        <w:t xml:space="preserve"> für die</w:t>
      </w:r>
      <w:r w:rsidR="00213230">
        <w:rPr>
          <w:rStyle w:val="CharacterStyle1"/>
          <w:rFonts w:ascii="Arial" w:hAnsi="Arial" w:cs="Arial"/>
          <w:sz w:val="24"/>
          <w:szCs w:val="24"/>
        </w:rPr>
        <w:t xml:space="preserve"> </w:t>
      </w:r>
      <w:r w:rsidR="009A1D03" w:rsidRPr="00367BB6">
        <w:rPr>
          <w:rStyle w:val="CharacterStyle1"/>
          <w:rFonts w:ascii="Arial" w:hAnsi="Arial" w:cs="Arial"/>
          <w:sz w:val="24"/>
          <w:szCs w:val="24"/>
        </w:rPr>
        <w:t>Zweigstelle</w:t>
      </w:r>
      <w:r w:rsidR="00D12C23">
        <w:rPr>
          <w:rStyle w:val="CharacterStyle1"/>
          <w:rFonts w:ascii="Arial" w:hAnsi="Arial" w:cs="Arial"/>
          <w:sz w:val="24"/>
          <w:szCs w:val="24"/>
        </w:rPr>
        <w:t xml:space="preserve"> Ost.</w:t>
      </w:r>
    </w:p>
    <w:p w:rsidR="00F361D7" w:rsidRDefault="00F361D7" w:rsidP="00F361D7">
      <w:pPr>
        <w:pStyle w:val="berschrift1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367BB6">
        <w:rPr>
          <w:rFonts w:cs="Arial"/>
          <w:szCs w:val="24"/>
        </w:rPr>
        <w:tab/>
      </w:r>
      <w:r w:rsidR="00EA0B07">
        <w:rPr>
          <w:rFonts w:cs="Arial"/>
          <w:szCs w:val="24"/>
        </w:rPr>
        <w:t>Schaffungskrit</w:t>
      </w:r>
      <w:r>
        <w:rPr>
          <w:rFonts w:cs="Arial"/>
          <w:szCs w:val="24"/>
        </w:rPr>
        <w:t>erien</w:t>
      </w:r>
    </w:p>
    <w:p w:rsidR="008A72C4" w:rsidRDefault="008A72C4" w:rsidP="008A72C4"/>
    <w:p w:rsidR="008A72C4" w:rsidRPr="00057C99" w:rsidRDefault="008A72C4" w:rsidP="008A72C4">
      <w:r>
        <w:t>Das Schaffungskriterium der Arbeitsvermehrung, Teilaspekt Leitungsspanne</w:t>
      </w:r>
      <w:r w:rsidR="00BB0EBE">
        <w:t>,</w:t>
      </w:r>
      <w:r>
        <w:t xml:space="preserve"> wird insgesamt im Umfang </w:t>
      </w:r>
      <w:r w:rsidR="00E91F4A">
        <w:t xml:space="preserve">von </w:t>
      </w:r>
      <w:r>
        <w:t>0,7 Stelle</w:t>
      </w:r>
      <w:r w:rsidR="00E91F4A">
        <w:t>nanteilen</w:t>
      </w:r>
      <w:r>
        <w:t xml:space="preserve"> erfüllt.</w:t>
      </w:r>
    </w:p>
    <w:p w:rsidR="003D7B0B" w:rsidRPr="00367BB6" w:rsidRDefault="003D7B0B" w:rsidP="00884D6C">
      <w:pPr>
        <w:pStyle w:val="berschrift1"/>
        <w:rPr>
          <w:rFonts w:cs="Arial"/>
          <w:szCs w:val="24"/>
        </w:rPr>
      </w:pPr>
      <w:r w:rsidRPr="00367BB6">
        <w:rPr>
          <w:rFonts w:cs="Arial"/>
          <w:szCs w:val="24"/>
        </w:rPr>
        <w:t>3</w:t>
      </w:r>
      <w:r w:rsidRPr="00367BB6">
        <w:rPr>
          <w:rFonts w:cs="Arial"/>
          <w:szCs w:val="24"/>
        </w:rPr>
        <w:tab/>
        <w:t>Bedarf</w:t>
      </w:r>
    </w:p>
    <w:p w:rsidR="00C85C83" w:rsidRDefault="00884D6C" w:rsidP="00FE2714">
      <w:pPr>
        <w:pStyle w:val="berschrift2"/>
        <w:rPr>
          <w:rFonts w:cs="Arial"/>
          <w:szCs w:val="24"/>
        </w:rPr>
      </w:pPr>
      <w:r w:rsidRPr="00367BB6">
        <w:rPr>
          <w:rFonts w:cs="Arial"/>
          <w:szCs w:val="24"/>
        </w:rPr>
        <w:t>3.1</w:t>
      </w:r>
      <w:r w:rsidRPr="00367BB6">
        <w:rPr>
          <w:rFonts w:cs="Arial"/>
          <w:szCs w:val="24"/>
        </w:rPr>
        <w:tab/>
      </w:r>
      <w:r w:rsidR="006E0575" w:rsidRPr="00367BB6">
        <w:rPr>
          <w:rFonts w:cs="Arial"/>
          <w:szCs w:val="24"/>
        </w:rPr>
        <w:t>Anlass</w:t>
      </w:r>
    </w:p>
    <w:p w:rsidR="008A72C4" w:rsidRPr="008A72C4" w:rsidRDefault="008A72C4" w:rsidP="008A72C4"/>
    <w:p w:rsidR="008A72C4" w:rsidRDefault="008A72C4" w:rsidP="008A72C4">
      <w:r>
        <w:t xml:space="preserve">Mit der Neufassung der Geschäftsanweisung für </w:t>
      </w:r>
      <w:r w:rsidR="00BB0EBE">
        <w:t xml:space="preserve">die </w:t>
      </w:r>
      <w:r>
        <w:t>Stellenplanbearbeitung vom 21.12.2020 hat der Gemeinderat beschlossen, das Schaffungskriterium der Arbeitsvermehrung um den Aspekt der L</w:t>
      </w:r>
      <w:r w:rsidR="00FC6D83">
        <w:t>eitungsspanne zu erweitern (GRDrs</w:t>
      </w:r>
      <w:r>
        <w:t>. 1050/2020 bzw. Rundschreiben 026/2020).</w:t>
      </w:r>
    </w:p>
    <w:p w:rsidR="008A72C4" w:rsidRDefault="008A72C4" w:rsidP="008A72C4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8A72C4" w:rsidRDefault="008A72C4" w:rsidP="008A72C4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lastRenderedPageBreak/>
        <w:t>Demnach ist bei Vorliegen einer Leitungsspanne, deren Wert dauerhaft 1:16 überschreitet, durch das antragstellende Amt anhand nachfolgender Kriterien der zusätzliche Bedarf von Führungsanteilen darzulegen:</w:t>
      </w:r>
    </w:p>
    <w:p w:rsidR="00BB0EBE" w:rsidRDefault="00BB0EBE" w:rsidP="008A72C4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8A72C4" w:rsidRPr="003D0F78" w:rsidRDefault="008A72C4" w:rsidP="008A72C4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Fachliche Breite</w:t>
      </w:r>
    </w:p>
    <w:p w:rsidR="008A72C4" w:rsidRPr="003D0F78" w:rsidRDefault="008A72C4" w:rsidP="008A72C4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Komplexität </w:t>
      </w:r>
    </w:p>
    <w:p w:rsidR="008A72C4" w:rsidRPr="003D0F78" w:rsidRDefault="008A72C4" w:rsidP="008A72C4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Routinegrad </w:t>
      </w:r>
    </w:p>
    <w:p w:rsidR="008A72C4" w:rsidRPr="003D0F78" w:rsidRDefault="008A72C4" w:rsidP="008A72C4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Planungsumfang </w:t>
      </w:r>
    </w:p>
    <w:p w:rsidR="008A72C4" w:rsidRPr="003D0F78" w:rsidRDefault="008A72C4" w:rsidP="008A72C4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Eigene Sachbearbeitung </w:t>
      </w:r>
    </w:p>
    <w:p w:rsidR="008A72C4" w:rsidRPr="003D0F78" w:rsidRDefault="008A72C4" w:rsidP="008A72C4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Delegationsgrad </w:t>
      </w:r>
    </w:p>
    <w:p w:rsidR="008A72C4" w:rsidRPr="003D0F78" w:rsidRDefault="008A72C4" w:rsidP="008A72C4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Abstimmungsbedarfe </w:t>
      </w:r>
    </w:p>
    <w:p w:rsidR="008A72C4" w:rsidRPr="003D0F78" w:rsidRDefault="008A72C4" w:rsidP="008A72C4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Anweisungsnotwendigkeit </w:t>
      </w:r>
    </w:p>
    <w:p w:rsidR="008A72C4" w:rsidRPr="003D0F78" w:rsidRDefault="008A72C4" w:rsidP="008A72C4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 xml:space="preserve">Raumsituation </w:t>
      </w:r>
    </w:p>
    <w:p w:rsidR="008A72C4" w:rsidRDefault="008A72C4" w:rsidP="008A72C4">
      <w:pPr>
        <w:pStyle w:val="Listenabsatz"/>
        <w:numPr>
          <w:ilvl w:val="0"/>
          <w:numId w:val="21"/>
        </w:num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Digitalisierung </w:t>
      </w:r>
    </w:p>
    <w:p w:rsidR="008A72C4" w:rsidRDefault="008A72C4" w:rsidP="008A72C4">
      <w:pPr>
        <w:pStyle w:val="Listenabsatz"/>
        <w:autoSpaceDE w:val="0"/>
        <w:autoSpaceDN w:val="0"/>
        <w:adjustRightInd w:val="0"/>
        <w:rPr>
          <w:rFonts w:ascii="CIDFont+F2" w:hAnsi="CIDFont+F2" w:cs="CIDFont+F2"/>
        </w:rPr>
      </w:pPr>
    </w:p>
    <w:p w:rsidR="008A72C4" w:rsidRDefault="008A72C4" w:rsidP="008A72C4">
      <w:pPr>
        <w:autoSpaceDE w:val="0"/>
        <w:autoSpaceDN w:val="0"/>
        <w:adjustRightInd w:val="0"/>
        <w:rPr>
          <w:rFonts w:ascii="CIDFont+F2" w:hAnsi="CIDFont+F2" w:cs="CIDFont+F2"/>
        </w:rPr>
      </w:pPr>
      <w:r w:rsidRPr="003D0F78">
        <w:rPr>
          <w:rFonts w:ascii="CIDFont+F2" w:hAnsi="CIDFont+F2" w:cs="CIDFont+F2"/>
        </w:rPr>
        <w:t>Auf dieser Basis erfolgt eine Prüfung/Entscheidung unter organisatorischen Gesichtspunkten. Hierbei werden auch angrenzende Organisationseinheiten mit betrachtet, bei denen eine Leitungsspanne unter 1:16 vorliegt.</w:t>
      </w:r>
    </w:p>
    <w:p w:rsidR="006A5FD3" w:rsidRDefault="006A5FD3" w:rsidP="008A72C4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6A5FD3" w:rsidRPr="003D0F78" w:rsidRDefault="007337FF" w:rsidP="008A72C4">
      <w:pPr>
        <w:autoSpaceDE w:val="0"/>
        <w:autoSpaceDN w:val="0"/>
        <w:adjustRightInd w:val="0"/>
        <w:rPr>
          <w:rFonts w:ascii="CIDFont+F2" w:hAnsi="CIDFont+F2" w:cs="CIDFont+F2"/>
        </w:rPr>
      </w:pPr>
      <w:r>
        <w:rPr>
          <w:rFonts w:ascii="CIDFont+F2" w:hAnsi="CIDFont+F2" w:cs="CIDFont+F2"/>
        </w:rPr>
        <w:t>Es</w:t>
      </w:r>
      <w:r w:rsidR="006A5FD3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 xml:space="preserve">sollen Sachgebiete </w:t>
      </w:r>
      <w:r w:rsidR="006A5FD3">
        <w:rPr>
          <w:rFonts w:ascii="CIDFont+F2" w:hAnsi="CIDFont+F2" w:cs="CIDFont+F2"/>
        </w:rPr>
        <w:t xml:space="preserve">eingerichtet werden und </w:t>
      </w:r>
      <w:r>
        <w:rPr>
          <w:rFonts w:ascii="CIDFont+F2" w:hAnsi="CIDFont+F2" w:cs="CIDFont+F2"/>
        </w:rPr>
        <w:t>neben der</w:t>
      </w:r>
      <w:r w:rsidR="006A5FD3">
        <w:rPr>
          <w:rFonts w:ascii="CIDFont+F2" w:hAnsi="CIDFont+F2" w:cs="CIDFont+F2"/>
        </w:rPr>
        <w:t xml:space="preserve"> Zweigstellenleitung Sachgebietsleitungen </w:t>
      </w:r>
      <w:r>
        <w:rPr>
          <w:rFonts w:ascii="CIDFont+F2" w:hAnsi="CIDFont+F2" w:cs="CIDFont+F2"/>
        </w:rPr>
        <w:t>für die Bereiche Sicherung des Lebensunterhalts und Eingliederung in Arbeit in der Zweigstelle tätig werden.</w:t>
      </w:r>
    </w:p>
    <w:p w:rsidR="003D7B0B" w:rsidRDefault="003D7B0B" w:rsidP="00165C0D">
      <w:pPr>
        <w:pStyle w:val="berschrift2"/>
        <w:rPr>
          <w:rFonts w:cs="Arial"/>
          <w:szCs w:val="24"/>
        </w:rPr>
      </w:pPr>
      <w:r w:rsidRPr="00367BB6">
        <w:rPr>
          <w:rFonts w:cs="Arial"/>
          <w:szCs w:val="24"/>
        </w:rPr>
        <w:t>3.2</w:t>
      </w:r>
      <w:r w:rsidRPr="00367BB6">
        <w:rPr>
          <w:rFonts w:cs="Arial"/>
          <w:szCs w:val="24"/>
        </w:rPr>
        <w:tab/>
        <w:t>Bisherige Aufgabenwahrnehmung</w:t>
      </w:r>
    </w:p>
    <w:p w:rsidR="00A55829" w:rsidRDefault="00A55829" w:rsidP="00A55829">
      <w:pPr>
        <w:spacing w:before="120"/>
        <w:rPr>
          <w:rFonts w:cs="Arial"/>
          <w:szCs w:val="24"/>
        </w:rPr>
      </w:pPr>
      <w:r w:rsidRPr="00367BB6">
        <w:rPr>
          <w:rFonts w:cs="Arial"/>
          <w:szCs w:val="24"/>
        </w:rPr>
        <w:t xml:space="preserve">Die </w:t>
      </w:r>
      <w:r w:rsidR="00D1130F">
        <w:rPr>
          <w:rFonts w:cs="Arial"/>
          <w:szCs w:val="24"/>
        </w:rPr>
        <w:t>Zweigstellenleitung übt die Fach</w:t>
      </w:r>
      <w:r w:rsidR="00AB10FA">
        <w:rPr>
          <w:rFonts w:cs="Arial"/>
          <w:szCs w:val="24"/>
        </w:rPr>
        <w:t>- und Dienstaufsicht aus ü</w:t>
      </w:r>
      <w:r w:rsidR="00D1130F">
        <w:rPr>
          <w:rFonts w:cs="Arial"/>
          <w:szCs w:val="24"/>
        </w:rPr>
        <w:t>ber</w:t>
      </w:r>
      <w:r w:rsidRPr="00367BB6">
        <w:rPr>
          <w:rFonts w:cs="Arial"/>
          <w:szCs w:val="24"/>
        </w:rPr>
        <w:t xml:space="preserve"> </w:t>
      </w:r>
      <w:r w:rsidR="00980341">
        <w:rPr>
          <w:rFonts w:cs="Arial"/>
          <w:szCs w:val="24"/>
        </w:rPr>
        <w:t xml:space="preserve">insgesamt knapp unter </w:t>
      </w:r>
      <w:r>
        <w:rPr>
          <w:rFonts w:cs="Arial"/>
          <w:szCs w:val="24"/>
        </w:rPr>
        <w:t>30</w:t>
      </w:r>
      <w:r w:rsidR="00D1130F">
        <w:rPr>
          <w:rFonts w:cs="Arial"/>
          <w:szCs w:val="24"/>
        </w:rPr>
        <w:t xml:space="preserve"> Mitarbeitende</w:t>
      </w:r>
      <w:r w:rsidRPr="00367BB6">
        <w:rPr>
          <w:rFonts w:cs="Arial"/>
          <w:szCs w:val="24"/>
        </w:rPr>
        <w:t xml:space="preserve"> </w:t>
      </w:r>
      <w:r w:rsidR="00D1130F">
        <w:rPr>
          <w:rFonts w:cs="Arial"/>
          <w:szCs w:val="24"/>
        </w:rPr>
        <w:t xml:space="preserve">in den Aufgabenbereichen </w:t>
      </w:r>
      <w:r w:rsidR="00980341" w:rsidRPr="00367BB6">
        <w:rPr>
          <w:rFonts w:cs="Arial"/>
          <w:szCs w:val="24"/>
        </w:rPr>
        <w:t>Leistungsgewährung</w:t>
      </w:r>
      <w:r w:rsidR="00D1130F">
        <w:rPr>
          <w:rFonts w:cs="Arial"/>
          <w:szCs w:val="24"/>
        </w:rPr>
        <w:t>,</w:t>
      </w:r>
      <w:r w:rsidR="00980341" w:rsidRPr="00367BB6">
        <w:rPr>
          <w:rFonts w:cs="Arial"/>
          <w:szCs w:val="24"/>
        </w:rPr>
        <w:t xml:space="preserve"> </w:t>
      </w:r>
      <w:r w:rsidR="00D1130F">
        <w:rPr>
          <w:rFonts w:cs="Arial"/>
          <w:szCs w:val="24"/>
        </w:rPr>
        <w:t>Qualifizierte</w:t>
      </w:r>
      <w:r w:rsidR="00980341">
        <w:rPr>
          <w:rFonts w:cs="Arial"/>
          <w:szCs w:val="24"/>
        </w:rPr>
        <w:t xml:space="preserve"> Information </w:t>
      </w:r>
      <w:r w:rsidR="00980341" w:rsidRPr="00367BB6">
        <w:rPr>
          <w:rFonts w:cs="Arial"/>
          <w:szCs w:val="24"/>
        </w:rPr>
        <w:t>zur Sicherung des Lebensunterhaltes sowie Eingliederung in Arbeit</w:t>
      </w:r>
      <w:r w:rsidR="00BB0EBE">
        <w:rPr>
          <w:rFonts w:cs="Arial"/>
          <w:szCs w:val="24"/>
        </w:rPr>
        <w:t>.</w:t>
      </w:r>
      <w:r w:rsidR="005166D5">
        <w:rPr>
          <w:rFonts w:cs="Arial"/>
          <w:szCs w:val="24"/>
        </w:rPr>
        <w:t xml:space="preserve"> </w:t>
      </w:r>
      <w:r w:rsidR="00AB10FA">
        <w:rPr>
          <w:rFonts w:cs="Arial"/>
          <w:szCs w:val="24"/>
        </w:rPr>
        <w:t>Die mit der Dienst- und Fachaufsicht verbundenen Aufgaben</w:t>
      </w:r>
      <w:r w:rsidR="007A068C">
        <w:rPr>
          <w:rFonts w:cs="Arial"/>
          <w:szCs w:val="24"/>
        </w:rPr>
        <w:t xml:space="preserve"> sowie </w:t>
      </w:r>
      <w:r w:rsidR="005166D5">
        <w:rPr>
          <w:rFonts w:cs="Arial"/>
          <w:szCs w:val="24"/>
        </w:rPr>
        <w:t>k</w:t>
      </w:r>
      <w:r w:rsidR="00980341">
        <w:rPr>
          <w:rFonts w:cs="Arial"/>
          <w:szCs w:val="24"/>
        </w:rPr>
        <w:t xml:space="preserve">onzeptionelle </w:t>
      </w:r>
      <w:r w:rsidR="0014395D">
        <w:rPr>
          <w:rFonts w:cs="Arial"/>
          <w:szCs w:val="24"/>
        </w:rPr>
        <w:t xml:space="preserve">Aufgaben </w:t>
      </w:r>
      <w:r w:rsidR="007A068C">
        <w:rPr>
          <w:rFonts w:cs="Arial"/>
          <w:szCs w:val="24"/>
        </w:rPr>
        <w:t xml:space="preserve">können </w:t>
      </w:r>
      <w:r w:rsidR="0014395D">
        <w:rPr>
          <w:rFonts w:cs="Arial"/>
          <w:szCs w:val="24"/>
        </w:rPr>
        <w:t xml:space="preserve">nicht mehr im erforderlichen Umfang </w:t>
      </w:r>
      <w:r w:rsidR="00980341">
        <w:rPr>
          <w:rFonts w:cs="Arial"/>
          <w:szCs w:val="24"/>
        </w:rPr>
        <w:t>wahrgenommen</w:t>
      </w:r>
      <w:r w:rsidR="0014395D">
        <w:rPr>
          <w:rFonts w:cs="Arial"/>
          <w:szCs w:val="24"/>
        </w:rPr>
        <w:t xml:space="preserve"> werden.</w:t>
      </w:r>
      <w:r w:rsidR="00980341">
        <w:rPr>
          <w:rFonts w:cs="Arial"/>
          <w:szCs w:val="24"/>
        </w:rPr>
        <w:t xml:space="preserve"> </w:t>
      </w:r>
    </w:p>
    <w:p w:rsidR="003D7B0B" w:rsidRDefault="006E0575" w:rsidP="00EA0B07">
      <w:pPr>
        <w:pStyle w:val="berschrift2"/>
        <w:rPr>
          <w:rFonts w:cs="Arial"/>
          <w:szCs w:val="24"/>
        </w:rPr>
      </w:pPr>
      <w:r w:rsidRPr="00367BB6">
        <w:rPr>
          <w:rFonts w:cs="Arial"/>
          <w:szCs w:val="24"/>
        </w:rPr>
        <w:t>3.3</w:t>
      </w:r>
      <w:r w:rsidR="003D7B0B" w:rsidRPr="00367BB6">
        <w:rPr>
          <w:rFonts w:cs="Arial"/>
          <w:szCs w:val="24"/>
        </w:rPr>
        <w:tab/>
        <w:t>Auswirkungen bei Ablehnung der Stellenschaffungen</w:t>
      </w:r>
    </w:p>
    <w:p w:rsidR="004B7114" w:rsidRDefault="00AB10FA" w:rsidP="004B7114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Die Wahrnehmung der </w:t>
      </w:r>
      <w:r w:rsidR="00835A06" w:rsidRPr="00367BB6">
        <w:rPr>
          <w:rFonts w:cs="Arial"/>
          <w:szCs w:val="24"/>
        </w:rPr>
        <w:t xml:space="preserve">Fach- und Dienstaufsicht </w:t>
      </w:r>
      <w:r>
        <w:rPr>
          <w:rFonts w:cs="Arial"/>
          <w:szCs w:val="24"/>
        </w:rPr>
        <w:t xml:space="preserve">ist </w:t>
      </w:r>
      <w:r w:rsidR="007A068C">
        <w:rPr>
          <w:rFonts w:cs="Arial"/>
          <w:szCs w:val="24"/>
        </w:rPr>
        <w:t xml:space="preserve">auch unter Zurückstellung konzeptioneller Aufgaben </w:t>
      </w:r>
      <w:r w:rsidRPr="00367BB6">
        <w:rPr>
          <w:rFonts w:cs="Arial"/>
          <w:szCs w:val="24"/>
        </w:rPr>
        <w:t xml:space="preserve">nicht </w:t>
      </w:r>
      <w:r>
        <w:rPr>
          <w:rFonts w:cs="Arial"/>
          <w:szCs w:val="24"/>
        </w:rPr>
        <w:t>mehr im</w:t>
      </w:r>
      <w:r w:rsidRPr="00367BB6">
        <w:rPr>
          <w:rFonts w:cs="Arial"/>
          <w:szCs w:val="24"/>
        </w:rPr>
        <w:t xml:space="preserve"> gebotenem Umfang </w:t>
      </w:r>
      <w:r w:rsidR="001421A9">
        <w:rPr>
          <w:rFonts w:cs="Arial"/>
          <w:szCs w:val="24"/>
        </w:rPr>
        <w:t xml:space="preserve">und in geforderter Qualität </w:t>
      </w:r>
      <w:r w:rsidR="007A068C">
        <w:rPr>
          <w:rFonts w:cs="Arial"/>
          <w:szCs w:val="24"/>
        </w:rPr>
        <w:t xml:space="preserve">durch </w:t>
      </w:r>
      <w:r w:rsidR="00C6325D">
        <w:rPr>
          <w:rFonts w:cs="Arial"/>
          <w:szCs w:val="24"/>
        </w:rPr>
        <w:t xml:space="preserve">nur </w:t>
      </w:r>
      <w:r w:rsidR="007A068C">
        <w:rPr>
          <w:rFonts w:cs="Arial"/>
          <w:szCs w:val="24"/>
        </w:rPr>
        <w:t xml:space="preserve">eine Leitungskraft </w:t>
      </w:r>
      <w:r>
        <w:rPr>
          <w:rFonts w:cs="Arial"/>
          <w:szCs w:val="24"/>
        </w:rPr>
        <w:t>möglich.</w:t>
      </w:r>
      <w:r w:rsidR="007A068C">
        <w:rPr>
          <w:rFonts w:cs="Arial"/>
          <w:szCs w:val="24"/>
        </w:rPr>
        <w:t xml:space="preserve"> </w:t>
      </w:r>
      <w:r w:rsidR="004B7114">
        <w:rPr>
          <w:rFonts w:cs="Arial"/>
          <w:szCs w:val="24"/>
        </w:rPr>
        <w:t>Die Zurückstellung von konzeptionellen Aufgaben führt zu zusätzlichen Qualitätseinbußen.</w:t>
      </w:r>
    </w:p>
    <w:p w:rsidR="004B7114" w:rsidRPr="00367BB6" w:rsidRDefault="004B7114" w:rsidP="004B7114">
      <w:pPr>
        <w:pStyle w:val="berschrift1"/>
        <w:rPr>
          <w:rFonts w:cs="Arial"/>
          <w:szCs w:val="24"/>
        </w:rPr>
      </w:pPr>
      <w:r w:rsidRPr="00367BB6">
        <w:rPr>
          <w:rFonts w:cs="Arial"/>
          <w:szCs w:val="24"/>
        </w:rPr>
        <w:t>4</w:t>
      </w:r>
      <w:r w:rsidRPr="00367BB6">
        <w:rPr>
          <w:rFonts w:cs="Arial"/>
          <w:szCs w:val="24"/>
        </w:rPr>
        <w:tab/>
        <w:t>Stellenvermerke</w:t>
      </w:r>
    </w:p>
    <w:p w:rsidR="004B7114" w:rsidRPr="00367BB6" w:rsidRDefault="004B7114" w:rsidP="004B7114">
      <w:pPr>
        <w:rPr>
          <w:rFonts w:cs="Arial"/>
          <w:szCs w:val="24"/>
        </w:rPr>
      </w:pPr>
    </w:p>
    <w:p w:rsidR="004B7114" w:rsidRPr="00367BB6" w:rsidRDefault="004B7114" w:rsidP="004B7114">
      <w:pPr>
        <w:rPr>
          <w:rFonts w:cs="Arial"/>
          <w:szCs w:val="24"/>
        </w:rPr>
      </w:pPr>
      <w:r>
        <w:rPr>
          <w:rFonts w:cs="Arial"/>
          <w:szCs w:val="24"/>
        </w:rPr>
        <w:t>keine</w:t>
      </w:r>
    </w:p>
    <w:p w:rsidR="007A068C" w:rsidRDefault="007A068C" w:rsidP="007A068C"/>
    <w:sectPr w:rsidR="007A068C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6D" w:rsidRDefault="00F56A6D">
      <w:r>
        <w:separator/>
      </w:r>
    </w:p>
  </w:endnote>
  <w:endnote w:type="continuationSeparator" w:id="0">
    <w:p w:rsidR="00F56A6D" w:rsidRDefault="00F5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6D" w:rsidRDefault="00F56A6D">
      <w:r>
        <w:separator/>
      </w:r>
    </w:p>
  </w:footnote>
  <w:footnote w:type="continuationSeparator" w:id="0">
    <w:p w:rsidR="00F56A6D" w:rsidRDefault="00F5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B6" w:rsidRDefault="00367BB6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772E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67BB6" w:rsidRDefault="00367B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86133B"/>
    <w:multiLevelType w:val="hybridMultilevel"/>
    <w:tmpl w:val="9D48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1FFA7463"/>
    <w:multiLevelType w:val="hybridMultilevel"/>
    <w:tmpl w:val="56022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75FCB"/>
    <w:multiLevelType w:val="hybridMultilevel"/>
    <w:tmpl w:val="90581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171BE"/>
    <w:multiLevelType w:val="hybridMultilevel"/>
    <w:tmpl w:val="B936D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E96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05B0B"/>
    <w:multiLevelType w:val="multilevel"/>
    <w:tmpl w:val="EBDC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F3ADB"/>
    <w:multiLevelType w:val="hybridMultilevel"/>
    <w:tmpl w:val="35F45F12"/>
    <w:lvl w:ilvl="0" w:tplc="F7A64C1C">
      <w:start w:val="1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0" w15:restartNumberingAfterBreak="0">
    <w:nsid w:val="52816BCC"/>
    <w:multiLevelType w:val="multilevel"/>
    <w:tmpl w:val="652A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635FE"/>
    <w:multiLevelType w:val="hybridMultilevel"/>
    <w:tmpl w:val="3EF0D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10482"/>
    <w:multiLevelType w:val="hybridMultilevel"/>
    <w:tmpl w:val="10BEB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D6EB7"/>
    <w:multiLevelType w:val="hybridMultilevel"/>
    <w:tmpl w:val="4FFE4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D353E"/>
    <w:multiLevelType w:val="hybridMultilevel"/>
    <w:tmpl w:val="0E38F81E"/>
    <w:lvl w:ilvl="0" w:tplc="04070015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B940728"/>
    <w:multiLevelType w:val="hybridMultilevel"/>
    <w:tmpl w:val="8102AE0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7EF0725"/>
    <w:multiLevelType w:val="hybridMultilevel"/>
    <w:tmpl w:val="52B2F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958C5"/>
    <w:multiLevelType w:val="hybridMultilevel"/>
    <w:tmpl w:val="302E9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8146E"/>
    <w:multiLevelType w:val="hybridMultilevel"/>
    <w:tmpl w:val="CBAAC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0" w15:restartNumberingAfterBreak="0">
    <w:nsid w:val="748D2883"/>
    <w:multiLevelType w:val="hybridMultilevel"/>
    <w:tmpl w:val="18108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9"/>
  </w:num>
  <w:num w:numId="5">
    <w:abstractNumId w:val="19"/>
  </w:num>
  <w:num w:numId="6">
    <w:abstractNumId w:val="15"/>
  </w:num>
  <w:num w:numId="7">
    <w:abstractNumId w:val="4"/>
  </w:num>
  <w:num w:numId="8">
    <w:abstractNumId w:val="5"/>
  </w:num>
  <w:num w:numId="9">
    <w:abstractNumId w:val="11"/>
  </w:num>
  <w:num w:numId="10">
    <w:abstractNumId w:val="17"/>
  </w:num>
  <w:num w:numId="11">
    <w:abstractNumId w:val="12"/>
  </w:num>
  <w:num w:numId="12">
    <w:abstractNumId w:val="6"/>
  </w:num>
  <w:num w:numId="13">
    <w:abstractNumId w:val="18"/>
  </w:num>
  <w:num w:numId="14">
    <w:abstractNumId w:val="13"/>
  </w:num>
  <w:num w:numId="15">
    <w:abstractNumId w:val="14"/>
  </w:num>
  <w:num w:numId="16">
    <w:abstractNumId w:val="20"/>
  </w:num>
  <w:num w:numId="17">
    <w:abstractNumId w:val="16"/>
  </w:num>
  <w:num w:numId="18">
    <w:abstractNumId w:val="10"/>
  </w:num>
  <w:num w:numId="19">
    <w:abstractNumId w:val="7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0C62"/>
    <w:rsid w:val="0002645C"/>
    <w:rsid w:val="000765EE"/>
    <w:rsid w:val="000826CF"/>
    <w:rsid w:val="00090063"/>
    <w:rsid w:val="00093D32"/>
    <w:rsid w:val="000A1146"/>
    <w:rsid w:val="000E200D"/>
    <w:rsid w:val="000F4964"/>
    <w:rsid w:val="001048B1"/>
    <w:rsid w:val="0011112B"/>
    <w:rsid w:val="001421A9"/>
    <w:rsid w:val="0014395D"/>
    <w:rsid w:val="0014415D"/>
    <w:rsid w:val="001612D2"/>
    <w:rsid w:val="00163034"/>
    <w:rsid w:val="00165C0D"/>
    <w:rsid w:val="00167B49"/>
    <w:rsid w:val="001766E0"/>
    <w:rsid w:val="00181857"/>
    <w:rsid w:val="00184D93"/>
    <w:rsid w:val="00184EDC"/>
    <w:rsid w:val="00194770"/>
    <w:rsid w:val="001968CA"/>
    <w:rsid w:val="00197B66"/>
    <w:rsid w:val="00197E53"/>
    <w:rsid w:val="001A5F9B"/>
    <w:rsid w:val="001A6059"/>
    <w:rsid w:val="001D6C6A"/>
    <w:rsid w:val="001F7237"/>
    <w:rsid w:val="00213230"/>
    <w:rsid w:val="0023124D"/>
    <w:rsid w:val="00247343"/>
    <w:rsid w:val="00254289"/>
    <w:rsid w:val="002779E3"/>
    <w:rsid w:val="002924CB"/>
    <w:rsid w:val="002A20D1"/>
    <w:rsid w:val="002B466F"/>
    <w:rsid w:val="002B5955"/>
    <w:rsid w:val="002E352B"/>
    <w:rsid w:val="002F65D8"/>
    <w:rsid w:val="00302D9A"/>
    <w:rsid w:val="0030725E"/>
    <w:rsid w:val="00327750"/>
    <w:rsid w:val="00341F1E"/>
    <w:rsid w:val="00343B55"/>
    <w:rsid w:val="00367BB6"/>
    <w:rsid w:val="00380937"/>
    <w:rsid w:val="003B04CD"/>
    <w:rsid w:val="003C0455"/>
    <w:rsid w:val="003C0B3D"/>
    <w:rsid w:val="003D7B0B"/>
    <w:rsid w:val="003F75AA"/>
    <w:rsid w:val="00427BB7"/>
    <w:rsid w:val="004351D3"/>
    <w:rsid w:val="0044326B"/>
    <w:rsid w:val="004633AE"/>
    <w:rsid w:val="00470135"/>
    <w:rsid w:val="0047606A"/>
    <w:rsid w:val="004908B5"/>
    <w:rsid w:val="0049121B"/>
    <w:rsid w:val="004A0F84"/>
    <w:rsid w:val="004A1688"/>
    <w:rsid w:val="004B6796"/>
    <w:rsid w:val="004B7114"/>
    <w:rsid w:val="00502834"/>
    <w:rsid w:val="00512E3E"/>
    <w:rsid w:val="005166D5"/>
    <w:rsid w:val="00537D26"/>
    <w:rsid w:val="00555233"/>
    <w:rsid w:val="00570626"/>
    <w:rsid w:val="0057110F"/>
    <w:rsid w:val="0059295E"/>
    <w:rsid w:val="005A0A9D"/>
    <w:rsid w:val="005A56AA"/>
    <w:rsid w:val="005A5EE0"/>
    <w:rsid w:val="005D267F"/>
    <w:rsid w:val="005E19C6"/>
    <w:rsid w:val="005F5B3D"/>
    <w:rsid w:val="00600F49"/>
    <w:rsid w:val="00606F80"/>
    <w:rsid w:val="00631280"/>
    <w:rsid w:val="00633704"/>
    <w:rsid w:val="006365C2"/>
    <w:rsid w:val="006562D5"/>
    <w:rsid w:val="006678CF"/>
    <w:rsid w:val="00697FBE"/>
    <w:rsid w:val="006A5FD3"/>
    <w:rsid w:val="006A7700"/>
    <w:rsid w:val="006B6D50"/>
    <w:rsid w:val="006C68AB"/>
    <w:rsid w:val="006D1655"/>
    <w:rsid w:val="006D5F89"/>
    <w:rsid w:val="006D777D"/>
    <w:rsid w:val="006E0575"/>
    <w:rsid w:val="00712627"/>
    <w:rsid w:val="00720DC7"/>
    <w:rsid w:val="007258D4"/>
    <w:rsid w:val="007337FF"/>
    <w:rsid w:val="00734117"/>
    <w:rsid w:val="00734C8F"/>
    <w:rsid w:val="00754659"/>
    <w:rsid w:val="00755DE5"/>
    <w:rsid w:val="007739AF"/>
    <w:rsid w:val="007A068C"/>
    <w:rsid w:val="007A29E4"/>
    <w:rsid w:val="007C7A3F"/>
    <w:rsid w:val="007D29A7"/>
    <w:rsid w:val="007E3B79"/>
    <w:rsid w:val="007F0C6D"/>
    <w:rsid w:val="007F56C9"/>
    <w:rsid w:val="0080155C"/>
    <w:rsid w:val="00801873"/>
    <w:rsid w:val="008066EE"/>
    <w:rsid w:val="008148A4"/>
    <w:rsid w:val="00815679"/>
    <w:rsid w:val="00817BB6"/>
    <w:rsid w:val="00821501"/>
    <w:rsid w:val="00835A06"/>
    <w:rsid w:val="00857ACD"/>
    <w:rsid w:val="00861AC0"/>
    <w:rsid w:val="008737E2"/>
    <w:rsid w:val="008772E2"/>
    <w:rsid w:val="00884D6C"/>
    <w:rsid w:val="008A6853"/>
    <w:rsid w:val="008A72C4"/>
    <w:rsid w:val="00906404"/>
    <w:rsid w:val="00926D32"/>
    <w:rsid w:val="0093125C"/>
    <w:rsid w:val="009342F2"/>
    <w:rsid w:val="00936981"/>
    <w:rsid w:val="00976588"/>
    <w:rsid w:val="00980341"/>
    <w:rsid w:val="00987F46"/>
    <w:rsid w:val="00993EC2"/>
    <w:rsid w:val="009A1D03"/>
    <w:rsid w:val="009B6444"/>
    <w:rsid w:val="009D4CE6"/>
    <w:rsid w:val="009E4020"/>
    <w:rsid w:val="009F0952"/>
    <w:rsid w:val="009F3F60"/>
    <w:rsid w:val="00A20898"/>
    <w:rsid w:val="00A27CA7"/>
    <w:rsid w:val="00A55829"/>
    <w:rsid w:val="00A71A9B"/>
    <w:rsid w:val="00A71D0A"/>
    <w:rsid w:val="00A767CA"/>
    <w:rsid w:val="00A77F1E"/>
    <w:rsid w:val="00A85179"/>
    <w:rsid w:val="00AB10FA"/>
    <w:rsid w:val="00AB1AD1"/>
    <w:rsid w:val="00AD3605"/>
    <w:rsid w:val="00AE4653"/>
    <w:rsid w:val="00B04290"/>
    <w:rsid w:val="00B07B74"/>
    <w:rsid w:val="00B11187"/>
    <w:rsid w:val="00B1262A"/>
    <w:rsid w:val="00B30D8C"/>
    <w:rsid w:val="00B4185B"/>
    <w:rsid w:val="00B44A5F"/>
    <w:rsid w:val="00B72FA9"/>
    <w:rsid w:val="00B80DEF"/>
    <w:rsid w:val="00BA4054"/>
    <w:rsid w:val="00BA5008"/>
    <w:rsid w:val="00BB0370"/>
    <w:rsid w:val="00BB0EBE"/>
    <w:rsid w:val="00BC4669"/>
    <w:rsid w:val="00BF2B95"/>
    <w:rsid w:val="00C14374"/>
    <w:rsid w:val="00C16EF1"/>
    <w:rsid w:val="00C27CEF"/>
    <w:rsid w:val="00C448D3"/>
    <w:rsid w:val="00C535D9"/>
    <w:rsid w:val="00C6325D"/>
    <w:rsid w:val="00C85C83"/>
    <w:rsid w:val="00C90999"/>
    <w:rsid w:val="00CA6DE1"/>
    <w:rsid w:val="00CC7932"/>
    <w:rsid w:val="00CE2F54"/>
    <w:rsid w:val="00D1130F"/>
    <w:rsid w:val="00D12C23"/>
    <w:rsid w:val="00D178FB"/>
    <w:rsid w:val="00D217BC"/>
    <w:rsid w:val="00D222B1"/>
    <w:rsid w:val="00D461B9"/>
    <w:rsid w:val="00D65737"/>
    <w:rsid w:val="00D90599"/>
    <w:rsid w:val="00D93918"/>
    <w:rsid w:val="00DA4D03"/>
    <w:rsid w:val="00DB3D6C"/>
    <w:rsid w:val="00DC2DDC"/>
    <w:rsid w:val="00DC5526"/>
    <w:rsid w:val="00DD1ECF"/>
    <w:rsid w:val="00DE5D2E"/>
    <w:rsid w:val="00DF5C51"/>
    <w:rsid w:val="00E014B6"/>
    <w:rsid w:val="00E06BA6"/>
    <w:rsid w:val="00E1162F"/>
    <w:rsid w:val="00E11D5F"/>
    <w:rsid w:val="00E20E1F"/>
    <w:rsid w:val="00E24DD7"/>
    <w:rsid w:val="00E26A7C"/>
    <w:rsid w:val="00E35E3A"/>
    <w:rsid w:val="00E43DC1"/>
    <w:rsid w:val="00E67E09"/>
    <w:rsid w:val="00E7118F"/>
    <w:rsid w:val="00E71A1F"/>
    <w:rsid w:val="00E91F4A"/>
    <w:rsid w:val="00EA0B07"/>
    <w:rsid w:val="00EF72C6"/>
    <w:rsid w:val="00F26C6D"/>
    <w:rsid w:val="00F27657"/>
    <w:rsid w:val="00F342DC"/>
    <w:rsid w:val="00F361D7"/>
    <w:rsid w:val="00F53FA1"/>
    <w:rsid w:val="00F56733"/>
    <w:rsid w:val="00F56A6D"/>
    <w:rsid w:val="00F63041"/>
    <w:rsid w:val="00F67217"/>
    <w:rsid w:val="00F73D64"/>
    <w:rsid w:val="00F76452"/>
    <w:rsid w:val="00F81809"/>
    <w:rsid w:val="00F902D1"/>
    <w:rsid w:val="00FC3509"/>
    <w:rsid w:val="00FC6D83"/>
    <w:rsid w:val="00FD6B46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4821A"/>
  <w15:docId w15:val="{49063428-D5BB-46FF-B1BB-C336BD0F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F53FA1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53FA1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F53FA1"/>
    <w:rPr>
      <w:sz w:val="16"/>
    </w:rPr>
  </w:style>
  <w:style w:type="paragraph" w:styleId="Kommentartext">
    <w:name w:val="annotation text"/>
    <w:basedOn w:val="Standard"/>
    <w:semiHidden/>
    <w:rsid w:val="00F53FA1"/>
    <w:rPr>
      <w:sz w:val="20"/>
    </w:rPr>
  </w:style>
  <w:style w:type="paragraph" w:styleId="Fuzeile">
    <w:name w:val="footer"/>
    <w:basedOn w:val="Standard"/>
    <w:rsid w:val="00F53FA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F53FA1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Style1">
    <w:name w:val="Style 1"/>
    <w:basedOn w:val="Standard"/>
    <w:uiPriority w:val="99"/>
    <w:rsid w:val="00DD1ECF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CharacterStyle1">
    <w:name w:val="Character Style 1"/>
    <w:uiPriority w:val="99"/>
    <w:rsid w:val="00DD1ECF"/>
    <w:rPr>
      <w:sz w:val="20"/>
    </w:rPr>
  </w:style>
  <w:style w:type="paragraph" w:styleId="Listenabsatz">
    <w:name w:val="List Paragraph"/>
    <w:basedOn w:val="Standard"/>
    <w:uiPriority w:val="34"/>
    <w:qFormat/>
    <w:rsid w:val="00993EC2"/>
    <w:pPr>
      <w:ind w:left="720"/>
      <w:contextualSpacing/>
    </w:pPr>
  </w:style>
  <w:style w:type="paragraph" w:customStyle="1" w:styleId="Default">
    <w:name w:val="Default"/>
    <w:rsid w:val="00B07B7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styleId="Textkrper2">
    <w:name w:val="Body Text 2"/>
    <w:basedOn w:val="Standard"/>
    <w:link w:val="Textkrper2Zchn"/>
    <w:rsid w:val="006678CF"/>
    <w:rPr>
      <w:b/>
      <w:sz w:val="22"/>
    </w:rPr>
  </w:style>
  <w:style w:type="character" w:customStyle="1" w:styleId="Textkrper2Zchn">
    <w:name w:val="Textkörper 2 Zchn"/>
    <w:basedOn w:val="Absatz-Standardschriftart"/>
    <w:link w:val="Textkrper2"/>
    <w:rsid w:val="006678CF"/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6678C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51D3-F0AB-4B68-9267-E28FFEF4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13</cp:revision>
  <cp:lastPrinted>2021-10-08T06:17:00Z</cp:lastPrinted>
  <dcterms:created xsi:type="dcterms:W3CDTF">2021-01-27T14:24:00Z</dcterms:created>
  <dcterms:modified xsi:type="dcterms:W3CDTF">2021-10-08T06:17:00Z</dcterms:modified>
</cp:coreProperties>
</file>