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930AA">
        <w:t>3</w:t>
      </w:r>
      <w:r w:rsidRPr="006E0575">
        <w:t xml:space="preserve"> zur GRDrs </w:t>
      </w:r>
      <w:r w:rsidR="008930AA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81D3D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7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70"/>
      </w:tblGrid>
      <w:tr w:rsidR="005F5B3D" w:rsidRPr="006E0575" w:rsidTr="00F738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70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F738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627FE" w:rsidP="0030686C">
            <w:pPr>
              <w:rPr>
                <w:sz w:val="20"/>
              </w:rPr>
            </w:pPr>
            <w:r w:rsidRPr="003A6AFE">
              <w:rPr>
                <w:sz w:val="20"/>
              </w:rPr>
              <w:t>29-1</w:t>
            </w:r>
          </w:p>
          <w:p w:rsidR="003C4617" w:rsidRDefault="003C4617" w:rsidP="0030686C">
            <w:pPr>
              <w:rPr>
                <w:sz w:val="20"/>
              </w:rPr>
            </w:pPr>
          </w:p>
          <w:p w:rsidR="0011112B" w:rsidRDefault="007A4533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253455">
              <w:rPr>
                <w:sz w:val="20"/>
              </w:rPr>
              <w:t xml:space="preserve"> </w:t>
            </w:r>
            <w:r>
              <w:rPr>
                <w:sz w:val="20"/>
              </w:rPr>
              <w:t>5912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B0720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D44C5" w:rsidP="00481D3D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B0720" w:rsidP="00253455">
            <w:pPr>
              <w:rPr>
                <w:sz w:val="20"/>
              </w:rPr>
            </w:pPr>
            <w:r>
              <w:rPr>
                <w:sz w:val="20"/>
              </w:rPr>
              <w:t>Teamleit</w:t>
            </w:r>
            <w:r w:rsidR="00253455">
              <w:rPr>
                <w:sz w:val="20"/>
              </w:rPr>
              <w:t>er/-in</w:t>
            </w:r>
            <w:r w:rsidR="00603D7D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41D25" w:rsidP="0030686C">
            <w:pPr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41D25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  <w:r w:rsidR="007279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 w:rsidR="0072799A">
              <w:rPr>
                <w:sz w:val="20"/>
              </w:rPr>
            </w:r>
            <w:r w:rsidR="0072799A">
              <w:rPr>
                <w:sz w:val="20"/>
              </w:rPr>
              <w:fldChar w:fldCharType="separate"/>
            </w:r>
            <w:r w:rsidR="00F7382D">
              <w:rPr>
                <w:noProof/>
                <w:sz w:val="20"/>
              </w:rPr>
              <w:t> </w:t>
            </w:r>
            <w:r w:rsidR="00F7382D">
              <w:rPr>
                <w:noProof/>
                <w:sz w:val="20"/>
              </w:rPr>
              <w:t> </w:t>
            </w:r>
            <w:r w:rsidR="00F7382D">
              <w:rPr>
                <w:noProof/>
                <w:sz w:val="20"/>
              </w:rPr>
              <w:t> </w:t>
            </w:r>
            <w:r w:rsidR="00F7382D">
              <w:rPr>
                <w:noProof/>
                <w:sz w:val="20"/>
              </w:rPr>
              <w:t> </w:t>
            </w:r>
            <w:r w:rsidR="00F7382D">
              <w:rPr>
                <w:noProof/>
                <w:sz w:val="20"/>
              </w:rPr>
              <w:t> </w:t>
            </w:r>
            <w:r w:rsidR="0072799A">
              <w:rPr>
                <w:sz w:val="20"/>
              </w:rPr>
              <w:fldChar w:fldCharType="end"/>
            </w:r>
          </w:p>
        </w:tc>
        <w:tc>
          <w:tcPr>
            <w:tcW w:w="147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7382D" w:rsidRDefault="00141D25" w:rsidP="005014B7">
            <w:pPr>
              <w:rPr>
                <w:sz w:val="20"/>
              </w:rPr>
            </w:pPr>
            <w:r>
              <w:rPr>
                <w:sz w:val="20"/>
              </w:rPr>
              <w:t>33.360</w:t>
            </w:r>
          </w:p>
          <w:p w:rsidR="00F7382D" w:rsidRDefault="00F7382D" w:rsidP="005014B7">
            <w:pPr>
              <w:rPr>
                <w:sz w:val="20"/>
              </w:rPr>
            </w:pPr>
          </w:p>
          <w:p w:rsidR="005F5B3D" w:rsidRPr="006E0575" w:rsidRDefault="00F7382D" w:rsidP="005014B7">
            <w:pPr>
              <w:rPr>
                <w:sz w:val="20"/>
              </w:rPr>
            </w:pPr>
            <w:r>
              <w:rPr>
                <w:sz w:val="20"/>
              </w:rPr>
              <w:t>(davon</w:t>
            </w:r>
            <w:bookmarkStart w:id="0" w:name="_GoBack"/>
            <w:bookmarkEnd w:id="0"/>
            <w:r>
              <w:rPr>
                <w:sz w:val="20"/>
              </w:rPr>
              <w:t xml:space="preserve"> 28.356 hh-neutral</w:t>
            </w:r>
            <w:r w:rsidR="00FB0720">
              <w:rPr>
                <w:sz w:val="20"/>
              </w:rPr>
              <w:t>*)</w:t>
            </w:r>
          </w:p>
        </w:tc>
      </w:tr>
    </w:tbl>
    <w:p w:rsidR="007C5017" w:rsidRPr="00F15BA3" w:rsidRDefault="00481D3D" w:rsidP="00FB0720">
      <w:pPr>
        <w:pStyle w:val="berschrift1"/>
        <w:spacing w:before="120"/>
        <w:rPr>
          <w:rFonts w:ascii="Helv" w:hAnsi="Helv" w:cs="Helv"/>
          <w:b w:val="0"/>
          <w:color w:val="000000"/>
          <w:sz w:val="16"/>
          <w:szCs w:val="16"/>
          <w:u w:val="none"/>
        </w:rPr>
      </w:pPr>
      <w:r w:rsidRPr="00F15BA3">
        <w:rPr>
          <w:b w:val="0"/>
          <w:sz w:val="16"/>
          <w:szCs w:val="16"/>
          <w:u w:val="none"/>
        </w:rPr>
        <w:t>*)</w:t>
      </w: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   Gemäß Kommunalträger-Abrechnungsverwaltungsvorschrift (KoA-VV) erfolgt die Abrechnung der Personalkosten fachspezifischer Stellen mit dem Bund spitz, für die Personalneben-, Sach- und Gemeinkosten werden Pauschalen zugrunde gelegt. Der Anteil des Bundes an den Kosten beträgt 84,8 Prozent, der kommunale Finanzierungsanteil (KFA) beträgt 15,2 Prozent</w:t>
      </w:r>
      <w:r w:rsidR="007C5017"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.</w:t>
      </w:r>
    </w:p>
    <w:p w:rsidR="00FB0720" w:rsidRDefault="007C5017" w:rsidP="007C5017">
      <w:pPr>
        <w:pStyle w:val="berschrift1"/>
        <w:spacing w:before="0"/>
        <w:ind w:firstLine="0"/>
      </w:pP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Soweit die Stelle mit einem/einer Beschäftigten nach TVöD besetzt wird, übersteigt die Erstattung des Bundes - i</w:t>
      </w:r>
      <w:r w:rsidR="00481D3D"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nklusive aller Pauschalen</w:t>
      </w: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 - </w:t>
      </w:r>
      <w:r w:rsidR="00481D3D"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den kostenwirksamen Aufwand, der bei der LHS für </w:t>
      </w: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die Stelle entsteht. Wird die Stelle mit einem Beamten/einer Beamtin besetzt, </w:t>
      </w:r>
      <w:r w:rsidR="00F20714"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kommt es in Höhe der Differenz der Versorgungsaufwendungen der LHS und der anzusetzenden Pauschale von 35 Prozent zu einem Finanzier</w:t>
      </w:r>
      <w:r w:rsidR="00F15BA3"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ungsbedarf.</w:t>
      </w: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7684C" w:rsidP="00884D6C">
      <w:r>
        <w:t>Geschaffen werden</w:t>
      </w:r>
      <w:r w:rsidR="00481D3D">
        <w:t xml:space="preserve"> 0</w:t>
      </w:r>
      <w:r w:rsidR="00141D25">
        <w:t>,3</w:t>
      </w:r>
      <w:r w:rsidR="00481D3D">
        <w:t>0 Stelle</w:t>
      </w:r>
      <w:r w:rsidR="00141D25">
        <w:t>nanteile Teamleitung</w:t>
      </w:r>
      <w:r w:rsidR="003D3E74">
        <w:t xml:space="preserve"> i</w:t>
      </w:r>
      <w:r w:rsidR="006E7BCE">
        <w:t>m Sachgebiet Haushalt und Finanzen der Abteilung Verwaltung</w:t>
      </w:r>
      <w:r w:rsidR="0063612D">
        <w:t>.</w:t>
      </w:r>
    </w:p>
    <w:p w:rsidR="00242639" w:rsidRDefault="00242639" w:rsidP="00242639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242639" w:rsidRDefault="00242639" w:rsidP="00242639"/>
    <w:p w:rsidR="00141D25" w:rsidRPr="00057C99" w:rsidRDefault="00141D25" w:rsidP="00141D25">
      <w:r>
        <w:t>Das Schaffungskriterium der Arbeitsvermehrung, Teilaspekt Leitungsspanne, wird im Umfang von 0,3 Stellenanteilen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141D25" w:rsidRDefault="00141D25" w:rsidP="00141D25">
      <w:r>
        <w:t>Mit der Neufassung der Geschäftsanweisung für die Stellenplanbearbeitung vom 21.12.2020 hat der Gemeinderat beschlossen, das Schaffungskriterium der Arbeitsvermehrung um den Aspekt der L</w:t>
      </w:r>
      <w:r w:rsidR="00253455">
        <w:t>eitungsspanne zu erweitern (GRDr</w:t>
      </w:r>
      <w:r>
        <w:t>. 1050/2020 bzw. Rundschreiben 026/2020).</w:t>
      </w:r>
    </w:p>
    <w:p w:rsidR="00141D25" w:rsidRDefault="00141D25" w:rsidP="00141D25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141D25" w:rsidRDefault="00141D25" w:rsidP="00141D25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152244" w:rsidRDefault="00152244" w:rsidP="00884D6C"/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>Fachliche Breite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Komplexität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lastRenderedPageBreak/>
        <w:t xml:space="preserve">Routinegrad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Planungsumfang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Eigene Sachbearbeitung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Delegationsgrad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Abstimmungsbedarfe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Anweisungsnotwendigkeit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Raumsituation </w:t>
      </w:r>
    </w:p>
    <w:p w:rsidR="00141D25" w:rsidRPr="00141D25" w:rsidRDefault="00141D25" w:rsidP="00141D25">
      <w:pPr>
        <w:pStyle w:val="Listenabsatz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141D25">
        <w:rPr>
          <w:rFonts w:cs="Arial"/>
          <w:sz w:val="24"/>
        </w:rPr>
        <w:t xml:space="preserve">Digitalisierung </w:t>
      </w:r>
    </w:p>
    <w:p w:rsidR="00141D25" w:rsidRDefault="00141D25" w:rsidP="00884D6C"/>
    <w:p w:rsidR="00141D25" w:rsidRDefault="00141D25" w:rsidP="00141D25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E469C3" w:rsidRDefault="00E469C3" w:rsidP="00141D25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E469C3" w:rsidRDefault="00E469C3" w:rsidP="00141D25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Zur Entlastung der Sachgebietsleitung </w:t>
      </w:r>
      <w:r w:rsidR="00152244">
        <w:rPr>
          <w:rFonts w:ascii="CIDFont+F2" w:hAnsi="CIDFont+F2" w:cs="CIDFont+F2"/>
        </w:rPr>
        <w:t xml:space="preserve">Haushalt und Finanzen </w:t>
      </w:r>
      <w:r>
        <w:rPr>
          <w:rFonts w:ascii="CIDFont+F2" w:hAnsi="CIDFont+F2" w:cs="CIDFont+F2"/>
        </w:rPr>
        <w:t xml:space="preserve">soll eine Teamleitung </w:t>
      </w:r>
      <w:r w:rsidR="004D54A3">
        <w:rPr>
          <w:rFonts w:ascii="CIDFont+F2" w:hAnsi="CIDFont+F2" w:cs="CIDFont+F2"/>
        </w:rPr>
        <w:t>für den Aufgabenbereich Zentrale Abrechnung von Eingliederungsleistungen (ZAE) sowie d</w:t>
      </w:r>
      <w:r w:rsidR="001F7483">
        <w:rPr>
          <w:rFonts w:ascii="CIDFont+F2" w:hAnsi="CIDFont+F2" w:cs="CIDFont+F2"/>
        </w:rPr>
        <w:t xml:space="preserve">en Aufgabenbereich </w:t>
      </w:r>
      <w:r w:rsidR="004D54A3">
        <w:rPr>
          <w:rFonts w:ascii="CIDFont+F2" w:hAnsi="CIDFont+F2" w:cs="CIDFont+F2"/>
        </w:rPr>
        <w:t xml:space="preserve">Arbeitgeber- und Teilhabeleistungen </w:t>
      </w:r>
      <w:r w:rsidR="001F7483">
        <w:rPr>
          <w:rFonts w:ascii="CIDFont+F2" w:hAnsi="CIDFont+F2" w:cs="CIDFont+F2"/>
        </w:rPr>
        <w:t xml:space="preserve">(ATL) </w:t>
      </w:r>
      <w:r>
        <w:rPr>
          <w:rFonts w:ascii="CIDFont+F2" w:hAnsi="CIDFont+F2" w:cs="CIDFont+F2"/>
        </w:rPr>
        <w:t>eingerichtet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6A4109" w:rsidRPr="003958A7" w:rsidRDefault="00152244" w:rsidP="006A4109">
      <w:r w:rsidRPr="003958A7">
        <w:rPr>
          <w:rFonts w:cs="Arial"/>
        </w:rPr>
        <w:t xml:space="preserve">Im Sachgebiet Haushalt und Finanzen ist für </w:t>
      </w:r>
      <w:r w:rsidR="00705D00" w:rsidRPr="003958A7">
        <w:rPr>
          <w:rFonts w:cs="Arial"/>
        </w:rPr>
        <w:t xml:space="preserve">die fachliche Leitung der Mitarbeitenden im Aufgabenbereich </w:t>
      </w:r>
      <w:r w:rsidR="004D54A3">
        <w:rPr>
          <w:rFonts w:cs="Arial"/>
        </w:rPr>
        <w:t>ZAE</w:t>
      </w:r>
      <w:r w:rsidR="00705D00" w:rsidRPr="003958A7">
        <w:rPr>
          <w:rFonts w:cs="Arial"/>
        </w:rPr>
        <w:t xml:space="preserve"> eine Teamkoordination eingerichtet, die bislang noch nicht durch zusätzliche Stellenanteile entlastet wurde. Aus diesem Grund </w:t>
      </w:r>
      <w:r w:rsidR="00D855E6" w:rsidRPr="003958A7">
        <w:rPr>
          <w:rFonts w:cs="Arial"/>
        </w:rPr>
        <w:t xml:space="preserve">werden </w:t>
      </w:r>
      <w:r w:rsidR="00705D00" w:rsidRPr="003958A7">
        <w:rPr>
          <w:rFonts w:cs="Arial"/>
        </w:rPr>
        <w:t xml:space="preserve">sachbearbeitende Aufgaben der Teamkoordination </w:t>
      </w:r>
      <w:r w:rsidR="00D855E6" w:rsidRPr="003958A7">
        <w:rPr>
          <w:rFonts w:cs="Arial"/>
        </w:rPr>
        <w:t xml:space="preserve">im Bereich Finanzcontrolling auch </w:t>
      </w:r>
      <w:r w:rsidR="00705D00" w:rsidRPr="003958A7">
        <w:rPr>
          <w:rFonts w:cs="Arial"/>
        </w:rPr>
        <w:t>von der Sachgebietsleitung</w:t>
      </w:r>
      <w:r w:rsidR="00D855E6" w:rsidRPr="003958A7">
        <w:rPr>
          <w:rFonts w:cs="Arial"/>
        </w:rPr>
        <w:t xml:space="preserve"> wahrgenommen. Daneben übt die Sachgebietsleitung neben der Wahrnehmung eigener konzeptioneller und sachbearbeitender </w:t>
      </w:r>
      <w:r w:rsidR="00FF5670" w:rsidRPr="003958A7">
        <w:rPr>
          <w:rFonts w:cs="Arial"/>
        </w:rPr>
        <w:t>Aufgaben</w:t>
      </w:r>
      <w:r w:rsidR="00D855E6" w:rsidRPr="003958A7">
        <w:rPr>
          <w:rFonts w:cs="Arial"/>
        </w:rPr>
        <w:t xml:space="preserve"> die Dienstaufsicht über </w:t>
      </w:r>
      <w:r w:rsidR="00FF5670" w:rsidRPr="003958A7">
        <w:rPr>
          <w:rFonts w:cs="Arial"/>
        </w:rPr>
        <w:t>18</w:t>
      </w:r>
      <w:r w:rsidR="00D855E6" w:rsidRPr="003958A7">
        <w:rPr>
          <w:rFonts w:cs="Arial"/>
        </w:rPr>
        <w:t xml:space="preserve"> Mitarbeitende sowie die Fachaufsicht </w:t>
      </w:r>
      <w:r w:rsidR="00E469C3" w:rsidRPr="003958A7">
        <w:rPr>
          <w:rFonts w:cs="Arial"/>
        </w:rPr>
        <w:t xml:space="preserve">über </w:t>
      </w:r>
      <w:r w:rsidR="00FF5670" w:rsidRPr="003958A7">
        <w:rPr>
          <w:rFonts w:cs="Arial"/>
        </w:rPr>
        <w:t>8 Mitarbeitende aus.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958A7" w:rsidRDefault="003958A7" w:rsidP="003958A7">
      <w:pPr>
        <w:rPr>
          <w:rFonts w:cs="Arial"/>
        </w:rPr>
      </w:pPr>
      <w:r>
        <w:rPr>
          <w:rFonts w:cs="Arial"/>
        </w:rPr>
        <w:t xml:space="preserve">Die Wahrnehmung der </w:t>
      </w:r>
      <w:r w:rsidRPr="00367BB6">
        <w:rPr>
          <w:rFonts w:cs="Arial"/>
        </w:rPr>
        <w:t xml:space="preserve">Fach- und Dienstaufsicht </w:t>
      </w:r>
      <w:r>
        <w:rPr>
          <w:rFonts w:cs="Arial"/>
        </w:rPr>
        <w:t>ist nicht mehr im geb</w:t>
      </w:r>
      <w:r w:rsidRPr="00367BB6">
        <w:rPr>
          <w:rFonts w:cs="Arial"/>
        </w:rPr>
        <w:t>otene</w:t>
      </w:r>
      <w:r>
        <w:rPr>
          <w:rFonts w:cs="Arial"/>
        </w:rPr>
        <w:t>n</w:t>
      </w:r>
      <w:r w:rsidRPr="00367BB6">
        <w:rPr>
          <w:rFonts w:cs="Arial"/>
        </w:rPr>
        <w:t xml:space="preserve"> Umfang </w:t>
      </w:r>
      <w:r>
        <w:rPr>
          <w:rFonts w:cs="Arial"/>
        </w:rPr>
        <w:t xml:space="preserve">und in geforderter Qualität möglich. </w:t>
      </w:r>
    </w:p>
    <w:p w:rsidR="003958A7" w:rsidRPr="00367BB6" w:rsidRDefault="003958A7" w:rsidP="003958A7">
      <w:pPr>
        <w:pStyle w:val="berschrift1"/>
        <w:rPr>
          <w:rFonts w:cs="Arial"/>
        </w:rPr>
      </w:pPr>
      <w:r w:rsidRPr="00367BB6">
        <w:rPr>
          <w:rFonts w:cs="Arial"/>
        </w:rPr>
        <w:t>4</w:t>
      </w:r>
      <w:r w:rsidRPr="00367BB6">
        <w:rPr>
          <w:rFonts w:cs="Arial"/>
        </w:rPr>
        <w:tab/>
        <w:t>Stellenvermerke</w:t>
      </w:r>
    </w:p>
    <w:p w:rsidR="003958A7" w:rsidRPr="00367BB6" w:rsidRDefault="003958A7" w:rsidP="003958A7">
      <w:pPr>
        <w:rPr>
          <w:rFonts w:cs="Arial"/>
        </w:rPr>
      </w:pPr>
    </w:p>
    <w:p w:rsidR="003958A7" w:rsidRPr="00367BB6" w:rsidRDefault="003958A7" w:rsidP="003958A7">
      <w:pPr>
        <w:rPr>
          <w:rFonts w:cs="Arial"/>
        </w:rPr>
      </w:pPr>
      <w:r>
        <w:rPr>
          <w:rFonts w:cs="Arial"/>
        </w:rPr>
        <w:t>keine</w:t>
      </w:r>
    </w:p>
    <w:p w:rsidR="003958A7" w:rsidRDefault="003958A7" w:rsidP="003958A7"/>
    <w:sectPr w:rsidR="003958A7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27" w:rsidRDefault="00097A27">
      <w:r>
        <w:separator/>
      </w:r>
    </w:p>
  </w:endnote>
  <w:endnote w:type="continuationSeparator" w:id="0">
    <w:p w:rsidR="00097A27" w:rsidRDefault="0009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27" w:rsidRDefault="00097A27">
      <w:r>
        <w:separator/>
      </w:r>
    </w:p>
  </w:footnote>
  <w:footnote w:type="continuationSeparator" w:id="0">
    <w:p w:rsidR="00097A27" w:rsidRDefault="0009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7382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E675FCB"/>
    <w:multiLevelType w:val="hybridMultilevel"/>
    <w:tmpl w:val="90581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E5965"/>
    <w:multiLevelType w:val="hybridMultilevel"/>
    <w:tmpl w:val="2460002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14D78D8"/>
    <w:multiLevelType w:val="hybridMultilevel"/>
    <w:tmpl w:val="782CC8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B7511"/>
    <w:multiLevelType w:val="hybridMultilevel"/>
    <w:tmpl w:val="385A6344"/>
    <w:lvl w:ilvl="0" w:tplc="3E38541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0"/>
    <w:rsid w:val="000370DB"/>
    <w:rsid w:val="00055758"/>
    <w:rsid w:val="00063CB1"/>
    <w:rsid w:val="000948DF"/>
    <w:rsid w:val="00097A27"/>
    <w:rsid w:val="000A1146"/>
    <w:rsid w:val="000C0B59"/>
    <w:rsid w:val="000D2719"/>
    <w:rsid w:val="000D7A10"/>
    <w:rsid w:val="000F174A"/>
    <w:rsid w:val="000F3765"/>
    <w:rsid w:val="00102C53"/>
    <w:rsid w:val="001034AF"/>
    <w:rsid w:val="0011112B"/>
    <w:rsid w:val="00141D25"/>
    <w:rsid w:val="0014415D"/>
    <w:rsid w:val="00151488"/>
    <w:rsid w:val="00152244"/>
    <w:rsid w:val="001539A0"/>
    <w:rsid w:val="00161CD3"/>
    <w:rsid w:val="00163034"/>
    <w:rsid w:val="00164678"/>
    <w:rsid w:val="00165C0D"/>
    <w:rsid w:val="00172F0A"/>
    <w:rsid w:val="001803A4"/>
    <w:rsid w:val="00181857"/>
    <w:rsid w:val="00184EDC"/>
    <w:rsid w:val="00194770"/>
    <w:rsid w:val="001A5F9B"/>
    <w:rsid w:val="001C71CB"/>
    <w:rsid w:val="001E010E"/>
    <w:rsid w:val="001F4AFF"/>
    <w:rsid w:val="001F7237"/>
    <w:rsid w:val="001F7483"/>
    <w:rsid w:val="002074C4"/>
    <w:rsid w:val="0021060B"/>
    <w:rsid w:val="00211D6F"/>
    <w:rsid w:val="00223FDA"/>
    <w:rsid w:val="00242639"/>
    <w:rsid w:val="00245269"/>
    <w:rsid w:val="002518C1"/>
    <w:rsid w:val="00253455"/>
    <w:rsid w:val="00254BC8"/>
    <w:rsid w:val="002616D7"/>
    <w:rsid w:val="00270AF1"/>
    <w:rsid w:val="002924CB"/>
    <w:rsid w:val="00296584"/>
    <w:rsid w:val="002A20D1"/>
    <w:rsid w:val="002A4DE3"/>
    <w:rsid w:val="002B5955"/>
    <w:rsid w:val="002B63CB"/>
    <w:rsid w:val="002B7AF0"/>
    <w:rsid w:val="002C1DD1"/>
    <w:rsid w:val="002E637B"/>
    <w:rsid w:val="002F3D5F"/>
    <w:rsid w:val="0030686C"/>
    <w:rsid w:val="00350EF9"/>
    <w:rsid w:val="0035464A"/>
    <w:rsid w:val="003760B8"/>
    <w:rsid w:val="00380937"/>
    <w:rsid w:val="0039111D"/>
    <w:rsid w:val="00394A9A"/>
    <w:rsid w:val="003958A7"/>
    <w:rsid w:val="00397717"/>
    <w:rsid w:val="003A1E3D"/>
    <w:rsid w:val="003A6AFE"/>
    <w:rsid w:val="003B269F"/>
    <w:rsid w:val="003C2B98"/>
    <w:rsid w:val="003C4617"/>
    <w:rsid w:val="003C4EEB"/>
    <w:rsid w:val="003D3E74"/>
    <w:rsid w:val="003D4DFB"/>
    <w:rsid w:val="003D7B0B"/>
    <w:rsid w:val="003F0FAA"/>
    <w:rsid w:val="0043043F"/>
    <w:rsid w:val="00470135"/>
    <w:rsid w:val="0047606A"/>
    <w:rsid w:val="0047684C"/>
    <w:rsid w:val="00476FD1"/>
    <w:rsid w:val="00481D3D"/>
    <w:rsid w:val="00487CB8"/>
    <w:rsid w:val="004908B5"/>
    <w:rsid w:val="0049121B"/>
    <w:rsid w:val="00497800"/>
    <w:rsid w:val="004A1688"/>
    <w:rsid w:val="004A2481"/>
    <w:rsid w:val="004B6796"/>
    <w:rsid w:val="004C1B0A"/>
    <w:rsid w:val="004C1EF3"/>
    <w:rsid w:val="004C4837"/>
    <w:rsid w:val="004D54A3"/>
    <w:rsid w:val="005014B7"/>
    <w:rsid w:val="00510561"/>
    <w:rsid w:val="005244B1"/>
    <w:rsid w:val="00546D6B"/>
    <w:rsid w:val="005A0A9D"/>
    <w:rsid w:val="005A56AA"/>
    <w:rsid w:val="005B01F2"/>
    <w:rsid w:val="005B1155"/>
    <w:rsid w:val="005C3D67"/>
    <w:rsid w:val="005C73E2"/>
    <w:rsid w:val="005E19C6"/>
    <w:rsid w:val="005F5B3D"/>
    <w:rsid w:val="005F62CF"/>
    <w:rsid w:val="00603D7D"/>
    <w:rsid w:val="00606F80"/>
    <w:rsid w:val="006179F8"/>
    <w:rsid w:val="00622CC7"/>
    <w:rsid w:val="0063612D"/>
    <w:rsid w:val="00642A51"/>
    <w:rsid w:val="0064321C"/>
    <w:rsid w:val="00695064"/>
    <w:rsid w:val="006A406B"/>
    <w:rsid w:val="006A4109"/>
    <w:rsid w:val="006B4770"/>
    <w:rsid w:val="006B6D50"/>
    <w:rsid w:val="006E0575"/>
    <w:rsid w:val="006E7BCE"/>
    <w:rsid w:val="00705D00"/>
    <w:rsid w:val="0072799A"/>
    <w:rsid w:val="00727F54"/>
    <w:rsid w:val="00734B0B"/>
    <w:rsid w:val="00754659"/>
    <w:rsid w:val="007627FE"/>
    <w:rsid w:val="00770C60"/>
    <w:rsid w:val="0077287D"/>
    <w:rsid w:val="007A4533"/>
    <w:rsid w:val="007A5EB7"/>
    <w:rsid w:val="007C5017"/>
    <w:rsid w:val="007D44C5"/>
    <w:rsid w:val="007E1E05"/>
    <w:rsid w:val="007E3B79"/>
    <w:rsid w:val="007E6B4A"/>
    <w:rsid w:val="007F19D1"/>
    <w:rsid w:val="008066EE"/>
    <w:rsid w:val="00810934"/>
    <w:rsid w:val="00817BB6"/>
    <w:rsid w:val="00884D6C"/>
    <w:rsid w:val="008930AA"/>
    <w:rsid w:val="008A2DDB"/>
    <w:rsid w:val="008B0908"/>
    <w:rsid w:val="008E3BF6"/>
    <w:rsid w:val="00902D3E"/>
    <w:rsid w:val="0091601E"/>
    <w:rsid w:val="00920F00"/>
    <w:rsid w:val="00935F65"/>
    <w:rsid w:val="009373E2"/>
    <w:rsid w:val="009373F6"/>
    <w:rsid w:val="009438CB"/>
    <w:rsid w:val="00957664"/>
    <w:rsid w:val="0097236E"/>
    <w:rsid w:val="00976588"/>
    <w:rsid w:val="00993A75"/>
    <w:rsid w:val="009A5038"/>
    <w:rsid w:val="009F13F9"/>
    <w:rsid w:val="009F6A15"/>
    <w:rsid w:val="00A0508C"/>
    <w:rsid w:val="00A25685"/>
    <w:rsid w:val="00A27CA7"/>
    <w:rsid w:val="00A36303"/>
    <w:rsid w:val="00A3754E"/>
    <w:rsid w:val="00A42F22"/>
    <w:rsid w:val="00A4514A"/>
    <w:rsid w:val="00A45B30"/>
    <w:rsid w:val="00A553C3"/>
    <w:rsid w:val="00A572D8"/>
    <w:rsid w:val="00A71D0A"/>
    <w:rsid w:val="00A77F1E"/>
    <w:rsid w:val="00A847C4"/>
    <w:rsid w:val="00A95580"/>
    <w:rsid w:val="00AA7AA8"/>
    <w:rsid w:val="00AB1A2D"/>
    <w:rsid w:val="00AB389D"/>
    <w:rsid w:val="00AB7ABE"/>
    <w:rsid w:val="00AE2D5A"/>
    <w:rsid w:val="00AE2F99"/>
    <w:rsid w:val="00AE7B02"/>
    <w:rsid w:val="00AF0DEA"/>
    <w:rsid w:val="00AF25E0"/>
    <w:rsid w:val="00B01EEC"/>
    <w:rsid w:val="00B04290"/>
    <w:rsid w:val="00B27E84"/>
    <w:rsid w:val="00B467EF"/>
    <w:rsid w:val="00B548FC"/>
    <w:rsid w:val="00B6040C"/>
    <w:rsid w:val="00B80DEF"/>
    <w:rsid w:val="00B81E2B"/>
    <w:rsid w:val="00B8542A"/>
    <w:rsid w:val="00B86BB5"/>
    <w:rsid w:val="00B91903"/>
    <w:rsid w:val="00BA3036"/>
    <w:rsid w:val="00BC4669"/>
    <w:rsid w:val="00BE1E3E"/>
    <w:rsid w:val="00BE3143"/>
    <w:rsid w:val="00C035A0"/>
    <w:rsid w:val="00C13AF9"/>
    <w:rsid w:val="00C16EF1"/>
    <w:rsid w:val="00C240C0"/>
    <w:rsid w:val="00C26BB0"/>
    <w:rsid w:val="00C348A8"/>
    <w:rsid w:val="00C448D3"/>
    <w:rsid w:val="00C509AC"/>
    <w:rsid w:val="00C546E5"/>
    <w:rsid w:val="00C54DA2"/>
    <w:rsid w:val="00C64533"/>
    <w:rsid w:val="00C81AA6"/>
    <w:rsid w:val="00C91AF4"/>
    <w:rsid w:val="00C96277"/>
    <w:rsid w:val="00CA540F"/>
    <w:rsid w:val="00CB0AD5"/>
    <w:rsid w:val="00CB5F5A"/>
    <w:rsid w:val="00CF62E5"/>
    <w:rsid w:val="00D429EF"/>
    <w:rsid w:val="00D66D3A"/>
    <w:rsid w:val="00D743D4"/>
    <w:rsid w:val="00D855E6"/>
    <w:rsid w:val="00DB07F9"/>
    <w:rsid w:val="00DB3D6C"/>
    <w:rsid w:val="00DC794A"/>
    <w:rsid w:val="00DD38A0"/>
    <w:rsid w:val="00DD707F"/>
    <w:rsid w:val="00DE362D"/>
    <w:rsid w:val="00E014B6"/>
    <w:rsid w:val="00E1162F"/>
    <w:rsid w:val="00E11D5F"/>
    <w:rsid w:val="00E20E1F"/>
    <w:rsid w:val="00E42F96"/>
    <w:rsid w:val="00E469C3"/>
    <w:rsid w:val="00E7118F"/>
    <w:rsid w:val="00E74DAD"/>
    <w:rsid w:val="00E77636"/>
    <w:rsid w:val="00E976A2"/>
    <w:rsid w:val="00EA7D59"/>
    <w:rsid w:val="00ED61DD"/>
    <w:rsid w:val="00EE531D"/>
    <w:rsid w:val="00EF3A11"/>
    <w:rsid w:val="00F02BD6"/>
    <w:rsid w:val="00F15BA3"/>
    <w:rsid w:val="00F20714"/>
    <w:rsid w:val="00F27657"/>
    <w:rsid w:val="00F31186"/>
    <w:rsid w:val="00F342DC"/>
    <w:rsid w:val="00F56F93"/>
    <w:rsid w:val="00F63041"/>
    <w:rsid w:val="00F66A3B"/>
    <w:rsid w:val="00F7382D"/>
    <w:rsid w:val="00F76033"/>
    <w:rsid w:val="00F76452"/>
    <w:rsid w:val="00F97602"/>
    <w:rsid w:val="00F97E00"/>
    <w:rsid w:val="00FA1F6D"/>
    <w:rsid w:val="00FA7280"/>
    <w:rsid w:val="00FB0720"/>
    <w:rsid w:val="00FB1160"/>
    <w:rsid w:val="00FC5BDD"/>
    <w:rsid w:val="00FD6B46"/>
    <w:rsid w:val="00FF2072"/>
    <w:rsid w:val="00FF4452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E5C41"/>
  <w15:docId w15:val="{F7AD2C1D-2A97-42F3-87EA-B26AE9F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CB0AD5"/>
  </w:style>
  <w:style w:type="paragraph" w:customStyle="1" w:styleId="Style1">
    <w:name w:val="Style 1"/>
    <w:basedOn w:val="Standard"/>
    <w:uiPriority w:val="99"/>
    <w:rsid w:val="003D3E7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22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3A11"/>
    <w:pPr>
      <w:ind w:left="7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A010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355F-0D13-46C3-B18E-1457250C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Knoblauch, Kai</dc:creator>
  <cp:lastModifiedBy>Baumann, Gerhard</cp:lastModifiedBy>
  <cp:revision>10</cp:revision>
  <cp:lastPrinted>2021-10-08T06:08:00Z</cp:lastPrinted>
  <dcterms:created xsi:type="dcterms:W3CDTF">2021-01-27T14:38:00Z</dcterms:created>
  <dcterms:modified xsi:type="dcterms:W3CDTF">2021-10-08T06:08:00Z</dcterms:modified>
</cp:coreProperties>
</file>