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FE60FF">
        <w:t>32</w:t>
      </w:r>
      <w:r w:rsidRPr="006E0575">
        <w:t xml:space="preserve"> zur GRDrs </w:t>
      </w:r>
      <w:r w:rsidR="00FE60FF">
        <w:t>705</w:t>
      </w:r>
      <w:r w:rsidR="00891246">
        <w:t>/20</w:t>
      </w:r>
      <w:r w:rsidR="006546BA">
        <w:t>21</w:t>
      </w:r>
    </w:p>
    <w:p w:rsidR="003D7B0B" w:rsidRPr="006E0575" w:rsidRDefault="003D7B0B" w:rsidP="006E0575"/>
    <w:p w:rsidR="003D7B0B" w:rsidRPr="006E0575" w:rsidRDefault="003D7B0B" w:rsidP="006E0575"/>
    <w:p w:rsidR="005E4644" w:rsidRDefault="005E4644" w:rsidP="00D15184">
      <w:pPr>
        <w:pStyle w:val="berschrift1"/>
        <w:tabs>
          <w:tab w:val="clear" w:pos="6521"/>
        </w:tabs>
      </w:pPr>
      <w:r>
        <w:t>Verlängerung</w:t>
      </w:r>
      <w:r w:rsidR="00FF2DC9" w:rsidRPr="00796600">
        <w:t xml:space="preserve"> </w:t>
      </w:r>
      <w:r w:rsidR="008C027D">
        <w:t xml:space="preserve">von </w:t>
      </w:r>
      <w:r w:rsidR="00A34898" w:rsidRPr="00796600">
        <w:t>Stellen</w:t>
      </w:r>
      <w:r w:rsidR="00FF2DC9" w:rsidRPr="00796600">
        <w:t>vermerk</w:t>
      </w:r>
      <w:r w:rsidR="008C027D">
        <w:t>en</w:t>
      </w:r>
      <w:r w:rsidR="003D7B0B" w:rsidRPr="00796600">
        <w:t xml:space="preserve"> </w:t>
      </w:r>
    </w:p>
    <w:p w:rsidR="003D7B0B" w:rsidRPr="00796600" w:rsidRDefault="007B5FE2" w:rsidP="00D15184">
      <w:pPr>
        <w:pStyle w:val="berschrift1"/>
        <w:tabs>
          <w:tab w:val="clear" w:pos="6521"/>
        </w:tabs>
      </w:pPr>
      <w:r w:rsidRPr="003A7A41">
        <w:t>zum</w:t>
      </w:r>
      <w:r w:rsidR="003D7B0B" w:rsidRPr="003A7A41">
        <w:t xml:space="preserve"> Stellenplan 20</w:t>
      </w:r>
      <w:r w:rsidR="00E37194">
        <w:t>2</w:t>
      </w:r>
      <w:r w:rsidR="00FE60FF">
        <w:t>3</w:t>
      </w:r>
      <w:bookmarkStart w:id="0" w:name="_GoBack"/>
      <w:bookmarkEnd w:id="0"/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65"/>
        <w:gridCol w:w="1450"/>
        <w:gridCol w:w="794"/>
        <w:gridCol w:w="1928"/>
        <w:gridCol w:w="737"/>
        <w:gridCol w:w="1134"/>
        <w:gridCol w:w="1417"/>
      </w:tblGrid>
      <w:tr w:rsidR="00891246" w:rsidRPr="006E0575" w:rsidTr="00683B69">
        <w:trPr>
          <w:tblHeader/>
        </w:trPr>
        <w:tc>
          <w:tcPr>
            <w:tcW w:w="2065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50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5E4644" w:rsidRDefault="005E464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5E4644" w:rsidRPr="005E4644" w:rsidRDefault="005E4644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5E4644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683B69">
        <w:tc>
          <w:tcPr>
            <w:tcW w:w="2065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683B69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500 0710 040 </w:t>
            </w:r>
          </w:p>
          <w:p w:rsidR="00683B69" w:rsidRDefault="00683B69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500 0720 040 </w:t>
            </w:r>
          </w:p>
          <w:p w:rsidR="00683B69" w:rsidRDefault="00683B69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500 0730 040 </w:t>
            </w:r>
          </w:p>
          <w:p w:rsidR="00683B69" w:rsidRDefault="00683B69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500 0740 040 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683B69" w:rsidP="00AD3A46">
            <w:pPr>
              <w:rPr>
                <w:sz w:val="20"/>
              </w:rPr>
            </w:pPr>
            <w:r>
              <w:rPr>
                <w:sz w:val="20"/>
              </w:rPr>
              <w:t>5070</w:t>
            </w:r>
            <w:r w:rsidR="00052340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22EEA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Sozialamt </w:t>
            </w:r>
          </w:p>
        </w:tc>
        <w:tc>
          <w:tcPr>
            <w:tcW w:w="794" w:type="dxa"/>
          </w:tcPr>
          <w:p w:rsidR="00683B69" w:rsidRDefault="00683B69" w:rsidP="00AD3A46">
            <w:pPr>
              <w:rPr>
                <w:sz w:val="20"/>
              </w:rPr>
            </w:pPr>
          </w:p>
          <w:p w:rsidR="00891246" w:rsidRPr="006E0575" w:rsidRDefault="00F22EEA" w:rsidP="00AD3A46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683B69" w:rsidRDefault="00683B69" w:rsidP="00AD3A46">
            <w:pPr>
              <w:rPr>
                <w:sz w:val="20"/>
              </w:rPr>
            </w:pPr>
          </w:p>
          <w:p w:rsidR="00891246" w:rsidRPr="006E0575" w:rsidRDefault="005E4644" w:rsidP="005E4644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  <w:r w:rsidR="00F22EEA">
              <w:rPr>
                <w:sz w:val="20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8C027D" w:rsidP="00AD3A46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8C027D" w:rsidRDefault="008C027D" w:rsidP="00AD3A46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8C027D" w:rsidRDefault="008C027D" w:rsidP="00AD3A46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8C027D" w:rsidRPr="006E0575" w:rsidRDefault="008C027D" w:rsidP="00AD3A46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F22EEA" w:rsidP="00AD3A46">
            <w:pPr>
              <w:rPr>
                <w:sz w:val="20"/>
              </w:rPr>
            </w:pPr>
            <w:r>
              <w:rPr>
                <w:sz w:val="20"/>
              </w:rPr>
              <w:t>KW 01/2023</w:t>
            </w:r>
          </w:p>
          <w:p w:rsidR="005E4644" w:rsidRDefault="005E4644" w:rsidP="00AD3A46">
            <w:pPr>
              <w:rPr>
                <w:sz w:val="20"/>
              </w:rPr>
            </w:pPr>
          </w:p>
          <w:p w:rsidR="00052340" w:rsidRPr="00052340" w:rsidRDefault="00052340" w:rsidP="00AD3A46">
            <w:pPr>
              <w:rPr>
                <w:b/>
                <w:sz w:val="20"/>
              </w:rPr>
            </w:pPr>
            <w:r w:rsidRPr="00052340">
              <w:rPr>
                <w:b/>
                <w:sz w:val="20"/>
              </w:rPr>
              <w:t>KW</w:t>
            </w:r>
          </w:p>
          <w:p w:rsidR="005E4644" w:rsidRPr="005E4644" w:rsidRDefault="005E4644" w:rsidP="00AD3A46">
            <w:pPr>
              <w:rPr>
                <w:b/>
                <w:sz w:val="20"/>
              </w:rPr>
            </w:pPr>
            <w:r w:rsidRPr="005E4644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F22EEA" w:rsidRDefault="00F22EEA" w:rsidP="00F22EEA">
      <w:pPr>
        <w:rPr>
          <w:sz w:val="23"/>
          <w:szCs w:val="23"/>
        </w:rPr>
      </w:pPr>
      <w:r>
        <w:rPr>
          <w:sz w:val="23"/>
          <w:szCs w:val="23"/>
        </w:rPr>
        <w:t xml:space="preserve">Um in allen vier Sachgebieten </w:t>
      </w:r>
      <w:r w:rsidR="005E4644">
        <w:rPr>
          <w:sz w:val="23"/>
          <w:szCs w:val="23"/>
        </w:rPr>
        <w:t xml:space="preserve">der Abteilung </w:t>
      </w:r>
      <w:r>
        <w:rPr>
          <w:sz w:val="23"/>
          <w:szCs w:val="23"/>
        </w:rPr>
        <w:t>eine Fallberatung mit 0,50 Stellenanteilen installieren zu können, erfolgte in jedem Sachgebiet eine 25 % Freistellung aus der Einheitssachbearbeitung (Blockierung dieser Stellenanteile für die Fallberatung) und eine Schaffung von je 25 % für die Einheitssachbearbeitung zur anteiligen Kompensation der Fallberatung. Als Ausgleich w</w:t>
      </w:r>
      <w:r w:rsidR="005E4644">
        <w:rPr>
          <w:sz w:val="23"/>
          <w:szCs w:val="23"/>
        </w:rPr>
        <w:t>urde</w:t>
      </w:r>
      <w:r>
        <w:rPr>
          <w:sz w:val="23"/>
          <w:szCs w:val="23"/>
        </w:rPr>
        <w:t xml:space="preserve"> somit eine 1,00 Stelle für die Einheitssachbearbeitung geschaffen. </w:t>
      </w:r>
    </w:p>
    <w:p w:rsidR="00F22EEA" w:rsidRDefault="00F22EEA" w:rsidP="00504E5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Auf die ausführlichen Begründungen in der GRDrs</w:t>
      </w:r>
      <w:r w:rsidR="00052340">
        <w:rPr>
          <w:sz w:val="23"/>
          <w:szCs w:val="23"/>
        </w:rPr>
        <w:t>.</w:t>
      </w:r>
      <w:r>
        <w:rPr>
          <w:sz w:val="23"/>
          <w:szCs w:val="23"/>
        </w:rPr>
        <w:t xml:space="preserve"> 794/2018 „Umsetzung des Bundesteilhabegesetzes (BTHG) beim Sozialamt (Teil A), Jobcenter (Teil B)“</w:t>
      </w:r>
      <w:r w:rsidR="00504E50">
        <w:rPr>
          <w:sz w:val="23"/>
          <w:szCs w:val="23"/>
        </w:rPr>
        <w:t xml:space="preserve"> </w:t>
      </w:r>
      <w:r w:rsidR="00052340">
        <w:rPr>
          <w:sz w:val="23"/>
          <w:szCs w:val="23"/>
        </w:rPr>
        <w:t>und GRDr</w:t>
      </w:r>
      <w:r w:rsidR="00504E50" w:rsidRPr="00005921">
        <w:rPr>
          <w:sz w:val="23"/>
          <w:szCs w:val="23"/>
        </w:rPr>
        <w:t>s</w:t>
      </w:r>
      <w:r w:rsidR="00052340">
        <w:rPr>
          <w:sz w:val="23"/>
          <w:szCs w:val="23"/>
        </w:rPr>
        <w:t>.</w:t>
      </w:r>
      <w:r w:rsidR="00504E50" w:rsidRPr="00005921">
        <w:rPr>
          <w:sz w:val="23"/>
          <w:szCs w:val="23"/>
        </w:rPr>
        <w:t xml:space="preserve"> 847/2019 „Haushalt 2020/2021 1. Projekt "Vorbereitung Umsetzung des Bundesteilhabegesetzes beim Sozialamt und den Bezirksämtern" – Abschlussbericht 2. Stellenplanrechtliche Auswirkungen im Geschäftskreis V – Referat Soziales und gesellschaftliche Integration“</w:t>
      </w:r>
      <w:r w:rsidRPr="00005921">
        <w:rPr>
          <w:sz w:val="23"/>
          <w:szCs w:val="23"/>
        </w:rPr>
        <w:t xml:space="preserve"> </w:t>
      </w:r>
      <w:r>
        <w:rPr>
          <w:sz w:val="23"/>
          <w:szCs w:val="23"/>
        </w:rPr>
        <w:t>sowie die hierzu gefassten Beschlüsse wird Bezug genommen.</w:t>
      </w:r>
    </w:p>
    <w:p w:rsidR="00F22EEA" w:rsidRDefault="00F22EEA" w:rsidP="00F22EEA">
      <w:pPr>
        <w:rPr>
          <w:sz w:val="23"/>
          <w:szCs w:val="23"/>
        </w:rPr>
      </w:pPr>
    </w:p>
    <w:p w:rsidR="00F22EEA" w:rsidRDefault="00F22EEA" w:rsidP="00F22EEA">
      <w:pPr>
        <w:rPr>
          <w:sz w:val="23"/>
          <w:szCs w:val="23"/>
        </w:rPr>
      </w:pPr>
      <w:r>
        <w:rPr>
          <w:sz w:val="23"/>
          <w:szCs w:val="23"/>
        </w:rPr>
        <w:t>Die geschaffene 1,00 Stelle für die Einheitssachbearbeitung ergibt sich als Ausgleich für die Freistellung zur Fallbera</w:t>
      </w:r>
      <w:r w:rsidR="00052340">
        <w:rPr>
          <w:sz w:val="23"/>
          <w:szCs w:val="23"/>
        </w:rPr>
        <w:t>tung von 25 % je Sachgebiet (4 x</w:t>
      </w:r>
      <w:r>
        <w:rPr>
          <w:sz w:val="23"/>
          <w:szCs w:val="23"/>
        </w:rPr>
        <w:t xml:space="preserve"> 0,25) aus dem Fallzahlenschlüssel. Der Stellenbedarf für das Fallmanagement mit integrierter Sachbearbeitung/Einheitssachbearbeitung ergibt sich aus dem ermittelten Fallzahlenschlüssel von 1:70</w:t>
      </w:r>
      <w:r w:rsidR="008A4A73">
        <w:rPr>
          <w:color w:val="FF0000"/>
          <w:sz w:val="23"/>
          <w:szCs w:val="23"/>
        </w:rPr>
        <w:t xml:space="preserve">. </w:t>
      </w:r>
    </w:p>
    <w:p w:rsidR="00F22EEA" w:rsidRDefault="00F22EEA" w:rsidP="00F22EEA">
      <w:pPr>
        <w:rPr>
          <w:sz w:val="23"/>
          <w:szCs w:val="23"/>
        </w:rPr>
      </w:pPr>
      <w:r>
        <w:rPr>
          <w:sz w:val="23"/>
          <w:szCs w:val="23"/>
        </w:rPr>
        <w:t>Der Fallzahlenschlüssel geht auf Empfehlungen einer interkommunalen landesweiten Arbeitsgruppe (AG) zum Personalbedarf zurück, die diese unter der Federführung des KVJS und unter Beteiligung der GPA erarbeitet hat.</w:t>
      </w:r>
    </w:p>
    <w:p w:rsidR="00F22EEA" w:rsidRDefault="00F22EEA" w:rsidP="00F22EEA">
      <w:pPr>
        <w:rPr>
          <w:sz w:val="23"/>
          <w:szCs w:val="23"/>
        </w:rPr>
      </w:pPr>
    </w:p>
    <w:p w:rsidR="00504E50" w:rsidRDefault="00F22EEA" w:rsidP="00F22EEA">
      <w:pPr>
        <w:rPr>
          <w:sz w:val="23"/>
          <w:szCs w:val="23"/>
        </w:rPr>
      </w:pPr>
      <w:r>
        <w:rPr>
          <w:sz w:val="23"/>
          <w:szCs w:val="23"/>
        </w:rPr>
        <w:t xml:space="preserve">Die Einführungsphase des neuen Leistungsrechts in der Eingliederungshilfe ist noch nicht abgeschlossen, da der neue Landesrahmenvertrag erst zum 1. Januar 2021 in Kraft getreten ist und </w:t>
      </w:r>
      <w:r w:rsidR="005C7060">
        <w:rPr>
          <w:sz w:val="23"/>
          <w:szCs w:val="23"/>
        </w:rPr>
        <w:t xml:space="preserve">weiterhin ein erhöhter Bedarf an Beratung und Unterstützung der Fallmanager ersichtlich ist. Der neue Rahmenvertrag bedarf einer Auslegung, die Einfluss auf die Erstellung von Teilhabe- und Gesamtplänen hat und in Zukunft haben wird. </w:t>
      </w:r>
      <w:r w:rsidR="008C027D">
        <w:rPr>
          <w:sz w:val="23"/>
          <w:szCs w:val="23"/>
        </w:rPr>
        <w:t>E</w:t>
      </w:r>
      <w:r>
        <w:rPr>
          <w:sz w:val="23"/>
          <w:szCs w:val="23"/>
        </w:rPr>
        <w:t>ine Reduzierung des Beratungsaufwands in der Fallberatung</w:t>
      </w:r>
      <w:r w:rsidR="008C027D">
        <w:rPr>
          <w:sz w:val="23"/>
          <w:szCs w:val="23"/>
        </w:rPr>
        <w:t xml:space="preserve"> ist derzeit noch nicht möglich. Deshalb wird die Verlängerung der KW-Vermerke zunächst bis 01/2024 beantragt.</w:t>
      </w:r>
    </w:p>
    <w:sectPr w:rsidR="00504E50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EA" w:rsidRDefault="00F22EEA">
      <w:r>
        <w:separator/>
      </w:r>
    </w:p>
  </w:endnote>
  <w:endnote w:type="continuationSeparator" w:id="0">
    <w:p w:rsidR="00F22EEA" w:rsidRDefault="00F2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EA" w:rsidRDefault="00F22EEA">
      <w:r>
        <w:separator/>
      </w:r>
    </w:p>
  </w:footnote>
  <w:footnote w:type="continuationSeparator" w:id="0">
    <w:p w:rsidR="00F22EEA" w:rsidRDefault="00F2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8C027D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A"/>
    <w:rsid w:val="00005921"/>
    <w:rsid w:val="00052340"/>
    <w:rsid w:val="000A1146"/>
    <w:rsid w:val="000C4AEB"/>
    <w:rsid w:val="001058DD"/>
    <w:rsid w:val="00165C0D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11255"/>
    <w:rsid w:val="004920E9"/>
    <w:rsid w:val="004B6796"/>
    <w:rsid w:val="004D7F89"/>
    <w:rsid w:val="00504E50"/>
    <w:rsid w:val="00537E08"/>
    <w:rsid w:val="005778E9"/>
    <w:rsid w:val="005C7060"/>
    <w:rsid w:val="005E4644"/>
    <w:rsid w:val="005E7511"/>
    <w:rsid w:val="005E7A74"/>
    <w:rsid w:val="0060281A"/>
    <w:rsid w:val="006546BA"/>
    <w:rsid w:val="00683B69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8A4A73"/>
    <w:rsid w:val="008C027D"/>
    <w:rsid w:val="00980B4C"/>
    <w:rsid w:val="00984AC4"/>
    <w:rsid w:val="00995EBD"/>
    <w:rsid w:val="009B0FBE"/>
    <w:rsid w:val="009E4D46"/>
    <w:rsid w:val="00A206E5"/>
    <w:rsid w:val="00A34898"/>
    <w:rsid w:val="00A43CE9"/>
    <w:rsid w:val="00A77F1E"/>
    <w:rsid w:val="00A8778F"/>
    <w:rsid w:val="00AB0D1F"/>
    <w:rsid w:val="00AD3A46"/>
    <w:rsid w:val="00AF120D"/>
    <w:rsid w:val="00B04290"/>
    <w:rsid w:val="00B238D8"/>
    <w:rsid w:val="00B80DEF"/>
    <w:rsid w:val="00C409CC"/>
    <w:rsid w:val="00C42332"/>
    <w:rsid w:val="00C448D3"/>
    <w:rsid w:val="00CD0B27"/>
    <w:rsid w:val="00CE7D5B"/>
    <w:rsid w:val="00D15184"/>
    <w:rsid w:val="00D24277"/>
    <w:rsid w:val="00D544BF"/>
    <w:rsid w:val="00D92EA8"/>
    <w:rsid w:val="00DA24CD"/>
    <w:rsid w:val="00DA701E"/>
    <w:rsid w:val="00DE32BA"/>
    <w:rsid w:val="00DF268B"/>
    <w:rsid w:val="00DF3470"/>
    <w:rsid w:val="00E1162F"/>
    <w:rsid w:val="00E11D5F"/>
    <w:rsid w:val="00E37194"/>
    <w:rsid w:val="00E917F3"/>
    <w:rsid w:val="00F00C79"/>
    <w:rsid w:val="00F132FA"/>
    <w:rsid w:val="00F22EEA"/>
    <w:rsid w:val="00F27657"/>
    <w:rsid w:val="00F27BB8"/>
    <w:rsid w:val="00FE60F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6F470"/>
  <w15:docId w15:val="{B93CE78E-4B45-4A12-ACB1-F38672E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F22EEA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0852\AppData\Local\Temp\notes65C8FE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606E-443B-44F6-8687-03E9DB9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1</Pages>
  <Words>324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Schultz, Elisabeth</dc:creator>
  <dc:description/>
  <cp:lastModifiedBy>Baumann, Gerhard</cp:lastModifiedBy>
  <cp:revision>7</cp:revision>
  <cp:lastPrinted>2012-11-15T11:11:00Z</cp:lastPrinted>
  <dcterms:created xsi:type="dcterms:W3CDTF">2021-01-15T08:09:00Z</dcterms:created>
  <dcterms:modified xsi:type="dcterms:W3CDTF">2021-09-29T14:18:00Z</dcterms:modified>
</cp:coreProperties>
</file>