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644FA8">
        <w:t>31</w:t>
      </w:r>
      <w:r w:rsidRPr="006E0575">
        <w:t xml:space="preserve"> zur GRDrs </w:t>
      </w:r>
      <w:r w:rsidR="00644FA8">
        <w:t>705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B133DE">
        <w:t xml:space="preserve">von </w:t>
      </w:r>
      <w:r w:rsidRPr="00666CE4">
        <w:t>Stellenvermerk</w:t>
      </w:r>
      <w:r w:rsidR="00B133DE">
        <w:t>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5B66A6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8968C9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8968C9">
        <w:tc>
          <w:tcPr>
            <w:tcW w:w="1814" w:type="dxa"/>
          </w:tcPr>
          <w:p w:rsidR="0007274C" w:rsidRPr="000C195D" w:rsidRDefault="0007274C" w:rsidP="0007274C">
            <w:pPr>
              <w:rPr>
                <w:sz w:val="20"/>
              </w:rPr>
            </w:pPr>
          </w:p>
          <w:p w:rsidR="0007274C" w:rsidRPr="000C195D" w:rsidRDefault="006B40FF" w:rsidP="0007274C">
            <w:pPr>
              <w:rPr>
                <w:sz w:val="20"/>
              </w:rPr>
            </w:pPr>
            <w:r w:rsidRPr="000C195D">
              <w:rPr>
                <w:sz w:val="20"/>
              </w:rPr>
              <w:t>500 0103 045</w:t>
            </w:r>
          </w:p>
          <w:p w:rsidR="0007274C" w:rsidRPr="000C195D" w:rsidRDefault="0007274C" w:rsidP="0007274C">
            <w:pPr>
              <w:rPr>
                <w:sz w:val="20"/>
              </w:rPr>
            </w:pPr>
          </w:p>
          <w:p w:rsidR="002E442C" w:rsidRPr="000C195D" w:rsidRDefault="006B40FF" w:rsidP="00E2209E">
            <w:pPr>
              <w:rPr>
                <w:sz w:val="20"/>
              </w:rPr>
            </w:pPr>
            <w:r w:rsidRPr="000C195D">
              <w:rPr>
                <w:sz w:val="20"/>
              </w:rPr>
              <w:t>5010 10</w:t>
            </w:r>
            <w:r w:rsidR="00E2209E" w:rsidRPr="000C195D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F64CE" w:rsidP="00C33C9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F64CE" w:rsidP="00C33C9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F64CE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B40FF" w:rsidP="00C33C9C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2E442C" w:rsidRDefault="000C195D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8968C9">
              <w:rPr>
                <w:sz w:val="20"/>
              </w:rPr>
              <w:t>01/2022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6B40FF" w:rsidRDefault="000C195D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462FF4"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8FE">
              <w:rPr>
                <w:noProof/>
                <w:sz w:val="20"/>
              </w:rPr>
              <w:t> </w:t>
            </w:r>
            <w:r w:rsidR="006628FE">
              <w:rPr>
                <w:noProof/>
                <w:sz w:val="20"/>
              </w:rPr>
              <w:t> </w:t>
            </w:r>
            <w:r w:rsidR="006628FE">
              <w:rPr>
                <w:noProof/>
                <w:sz w:val="20"/>
              </w:rPr>
              <w:t> </w:t>
            </w:r>
            <w:r w:rsidR="006628FE">
              <w:rPr>
                <w:noProof/>
                <w:sz w:val="20"/>
              </w:rPr>
              <w:t> </w:t>
            </w:r>
            <w:r w:rsidR="006628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40FF" w:rsidRPr="006E0575" w:rsidTr="008968C9">
        <w:tc>
          <w:tcPr>
            <w:tcW w:w="1814" w:type="dxa"/>
          </w:tcPr>
          <w:p w:rsidR="006B40FF" w:rsidRPr="000C195D" w:rsidRDefault="006B40FF" w:rsidP="006B40FF">
            <w:pPr>
              <w:rPr>
                <w:sz w:val="20"/>
              </w:rPr>
            </w:pPr>
          </w:p>
          <w:p w:rsidR="006B40FF" w:rsidRPr="000C195D" w:rsidRDefault="006B40FF" w:rsidP="006B40FF">
            <w:pPr>
              <w:rPr>
                <w:sz w:val="20"/>
              </w:rPr>
            </w:pPr>
            <w:r w:rsidRPr="000C195D">
              <w:rPr>
                <w:sz w:val="20"/>
              </w:rPr>
              <w:t>500 0104 350</w:t>
            </w:r>
          </w:p>
          <w:p w:rsidR="006B40FF" w:rsidRPr="000C195D" w:rsidRDefault="006B40FF" w:rsidP="006B40FF">
            <w:pPr>
              <w:rPr>
                <w:sz w:val="20"/>
              </w:rPr>
            </w:pPr>
          </w:p>
          <w:p w:rsidR="006B40FF" w:rsidRPr="000C195D" w:rsidRDefault="006B40FF" w:rsidP="00E2209E">
            <w:pPr>
              <w:rPr>
                <w:sz w:val="20"/>
              </w:rPr>
            </w:pPr>
            <w:r w:rsidRPr="000C195D">
              <w:rPr>
                <w:sz w:val="20"/>
              </w:rPr>
              <w:t xml:space="preserve">5010 </w:t>
            </w:r>
            <w:r w:rsidR="006628FE">
              <w:rPr>
                <w:sz w:val="20"/>
              </w:rPr>
              <w:t>1030</w:t>
            </w:r>
          </w:p>
        </w:tc>
        <w:tc>
          <w:tcPr>
            <w:tcW w:w="1701" w:type="dxa"/>
          </w:tcPr>
          <w:p w:rsidR="006B40FF" w:rsidRDefault="006B40FF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6B40FF" w:rsidRDefault="006B40FF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6B40FF" w:rsidRDefault="006B40FF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6B40FF" w:rsidRDefault="006B40FF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6B40FF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6B40FF" w:rsidRDefault="006B40FF" w:rsidP="006B40FF">
            <w:pPr>
              <w:rPr>
                <w:sz w:val="20"/>
              </w:rPr>
            </w:pPr>
          </w:p>
        </w:tc>
      </w:tr>
      <w:tr w:rsidR="006B40FF" w:rsidRPr="006E0575" w:rsidTr="008968C9">
        <w:tc>
          <w:tcPr>
            <w:tcW w:w="1814" w:type="dxa"/>
          </w:tcPr>
          <w:p w:rsidR="006B40FF" w:rsidRPr="000C195D" w:rsidRDefault="006B40FF" w:rsidP="006B40FF">
            <w:pPr>
              <w:rPr>
                <w:sz w:val="20"/>
              </w:rPr>
            </w:pPr>
          </w:p>
          <w:p w:rsidR="00B931A5" w:rsidRPr="000C195D" w:rsidRDefault="00B931A5" w:rsidP="006B40FF">
            <w:pPr>
              <w:rPr>
                <w:sz w:val="20"/>
              </w:rPr>
            </w:pPr>
            <w:r w:rsidRPr="000C195D">
              <w:rPr>
                <w:sz w:val="20"/>
              </w:rPr>
              <w:t>500 0602 070</w:t>
            </w:r>
          </w:p>
          <w:p w:rsidR="006B40FF" w:rsidRPr="000C195D" w:rsidRDefault="006B40FF" w:rsidP="006B40FF">
            <w:pPr>
              <w:rPr>
                <w:sz w:val="20"/>
              </w:rPr>
            </w:pPr>
          </w:p>
          <w:p w:rsidR="006B40FF" w:rsidRPr="000C195D" w:rsidRDefault="006B40FF" w:rsidP="006B40FF">
            <w:pPr>
              <w:rPr>
                <w:sz w:val="20"/>
              </w:rPr>
            </w:pPr>
            <w:r w:rsidRPr="000C195D">
              <w:rPr>
                <w:sz w:val="20"/>
              </w:rPr>
              <w:t>5060 5020</w:t>
            </w:r>
          </w:p>
          <w:p w:rsidR="006B40FF" w:rsidRPr="000C195D" w:rsidRDefault="006B40FF" w:rsidP="006B40F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B40FF" w:rsidRDefault="006B40FF" w:rsidP="006B40FF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6B40FF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6B40FF" w:rsidRDefault="006B40FF" w:rsidP="006B40FF">
            <w:pPr>
              <w:rPr>
                <w:sz w:val="20"/>
              </w:rPr>
            </w:pPr>
          </w:p>
          <w:p w:rsidR="00B931A5" w:rsidRDefault="00B931A5" w:rsidP="006B40F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6B40FF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6B40FF" w:rsidRDefault="006B40FF" w:rsidP="006B40FF">
            <w:pPr>
              <w:rPr>
                <w:sz w:val="20"/>
              </w:rPr>
            </w:pPr>
          </w:p>
        </w:tc>
      </w:tr>
      <w:tr w:rsidR="006B40FF" w:rsidRPr="006E0575" w:rsidTr="008968C9">
        <w:tc>
          <w:tcPr>
            <w:tcW w:w="1814" w:type="dxa"/>
          </w:tcPr>
          <w:p w:rsidR="006B40FF" w:rsidRPr="000C195D" w:rsidRDefault="006B40FF" w:rsidP="006B40FF">
            <w:pPr>
              <w:rPr>
                <w:sz w:val="20"/>
              </w:rPr>
            </w:pPr>
          </w:p>
          <w:p w:rsidR="00B931A5" w:rsidRPr="000C195D" w:rsidRDefault="00B931A5" w:rsidP="006B40FF">
            <w:pPr>
              <w:rPr>
                <w:sz w:val="20"/>
              </w:rPr>
            </w:pPr>
            <w:r w:rsidRPr="000C195D">
              <w:rPr>
                <w:sz w:val="20"/>
              </w:rPr>
              <w:t>500 0602 222</w:t>
            </w:r>
          </w:p>
          <w:p w:rsidR="00B931A5" w:rsidRPr="000C195D" w:rsidRDefault="00B931A5" w:rsidP="006B40FF">
            <w:pPr>
              <w:rPr>
                <w:sz w:val="20"/>
              </w:rPr>
            </w:pPr>
          </w:p>
          <w:p w:rsidR="00B931A5" w:rsidRPr="000C195D" w:rsidRDefault="00B931A5" w:rsidP="006B40FF">
            <w:pPr>
              <w:rPr>
                <w:sz w:val="20"/>
              </w:rPr>
            </w:pPr>
            <w:r w:rsidRPr="000C195D">
              <w:rPr>
                <w:sz w:val="20"/>
              </w:rPr>
              <w:t>5060 5020</w:t>
            </w:r>
          </w:p>
        </w:tc>
        <w:tc>
          <w:tcPr>
            <w:tcW w:w="1701" w:type="dxa"/>
          </w:tcPr>
          <w:p w:rsidR="006B40FF" w:rsidRDefault="006B40FF" w:rsidP="006B40FF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6B40FF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B931A5" w:rsidRDefault="00B931A5" w:rsidP="006B40FF">
            <w:pPr>
              <w:rPr>
                <w:sz w:val="20"/>
              </w:rPr>
            </w:pPr>
          </w:p>
          <w:p w:rsidR="00B931A5" w:rsidRDefault="00B931A5" w:rsidP="006B40F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6B40FF">
            <w:pPr>
              <w:rPr>
                <w:sz w:val="20"/>
              </w:rPr>
            </w:pPr>
          </w:p>
          <w:p w:rsidR="006B40FF" w:rsidRDefault="006B40FF" w:rsidP="006B40FF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6B40FF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6B40FF" w:rsidRDefault="006B40FF" w:rsidP="006B40FF">
            <w:pPr>
              <w:rPr>
                <w:sz w:val="20"/>
              </w:rPr>
            </w:pPr>
          </w:p>
        </w:tc>
      </w:tr>
      <w:tr w:rsidR="00B931A5" w:rsidRPr="006E0575" w:rsidTr="008968C9">
        <w:tc>
          <w:tcPr>
            <w:tcW w:w="1814" w:type="dxa"/>
          </w:tcPr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500 0602 224</w:t>
            </w:r>
          </w:p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5060 5020</w:t>
            </w:r>
          </w:p>
        </w:tc>
        <w:tc>
          <w:tcPr>
            <w:tcW w:w="1701" w:type="dxa"/>
          </w:tcPr>
          <w:p w:rsidR="00B931A5" w:rsidRDefault="00B931A5" w:rsidP="00B931A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B931A5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B931A5" w:rsidRDefault="00B931A5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B931A5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B931A5" w:rsidRDefault="00B931A5" w:rsidP="00B931A5">
            <w:pPr>
              <w:rPr>
                <w:sz w:val="20"/>
              </w:rPr>
            </w:pPr>
          </w:p>
        </w:tc>
      </w:tr>
      <w:tr w:rsidR="00B931A5" w:rsidRPr="006E0575" w:rsidTr="008968C9">
        <w:tc>
          <w:tcPr>
            <w:tcW w:w="1814" w:type="dxa"/>
          </w:tcPr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500 0602 230</w:t>
            </w:r>
          </w:p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5060 5020</w:t>
            </w:r>
          </w:p>
        </w:tc>
        <w:tc>
          <w:tcPr>
            <w:tcW w:w="1701" w:type="dxa"/>
          </w:tcPr>
          <w:p w:rsidR="00B931A5" w:rsidRDefault="00B931A5" w:rsidP="00B931A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B931A5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B931A5" w:rsidRDefault="00B931A5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B931A5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B931A5" w:rsidRDefault="00B931A5" w:rsidP="00B931A5">
            <w:pPr>
              <w:rPr>
                <w:sz w:val="20"/>
              </w:rPr>
            </w:pPr>
          </w:p>
        </w:tc>
      </w:tr>
      <w:tr w:rsidR="00B931A5" w:rsidRPr="006E0575" w:rsidTr="008968C9">
        <w:tc>
          <w:tcPr>
            <w:tcW w:w="1814" w:type="dxa"/>
          </w:tcPr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500 0603 045</w:t>
            </w:r>
          </w:p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6628FE" w:rsidP="00B931A5">
            <w:pPr>
              <w:rPr>
                <w:sz w:val="20"/>
              </w:rPr>
            </w:pPr>
            <w:r>
              <w:rPr>
                <w:sz w:val="20"/>
              </w:rPr>
              <w:t>5060 502</w:t>
            </w:r>
            <w:r w:rsidR="00E2209E" w:rsidRPr="000C195D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B931A5" w:rsidRDefault="00B931A5" w:rsidP="00B931A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B931A5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B931A5" w:rsidRDefault="00B931A5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B931A5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B931A5" w:rsidRDefault="00B931A5" w:rsidP="00B931A5">
            <w:pPr>
              <w:rPr>
                <w:sz w:val="20"/>
              </w:rPr>
            </w:pPr>
          </w:p>
        </w:tc>
      </w:tr>
      <w:tr w:rsidR="00B931A5" w:rsidRPr="006E0575" w:rsidTr="008968C9">
        <w:tc>
          <w:tcPr>
            <w:tcW w:w="1814" w:type="dxa"/>
          </w:tcPr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B931A5">
            <w:pPr>
              <w:rPr>
                <w:sz w:val="20"/>
              </w:rPr>
            </w:pPr>
            <w:r w:rsidRPr="000C195D">
              <w:rPr>
                <w:sz w:val="20"/>
              </w:rPr>
              <w:t>500 0603 060</w:t>
            </w:r>
          </w:p>
          <w:p w:rsidR="00B931A5" w:rsidRPr="000C195D" w:rsidRDefault="00B931A5" w:rsidP="00B931A5">
            <w:pPr>
              <w:rPr>
                <w:sz w:val="20"/>
              </w:rPr>
            </w:pPr>
          </w:p>
          <w:p w:rsidR="00B931A5" w:rsidRPr="000C195D" w:rsidRDefault="00B931A5" w:rsidP="00E2209E">
            <w:pPr>
              <w:rPr>
                <w:sz w:val="20"/>
              </w:rPr>
            </w:pPr>
            <w:r w:rsidRPr="000C195D">
              <w:rPr>
                <w:sz w:val="20"/>
              </w:rPr>
              <w:t>5060 50</w:t>
            </w:r>
            <w:r w:rsidR="006628FE">
              <w:rPr>
                <w:sz w:val="20"/>
              </w:rPr>
              <w:t>2</w:t>
            </w:r>
            <w:bookmarkStart w:id="0" w:name="_GoBack"/>
            <w:bookmarkEnd w:id="0"/>
            <w:r w:rsidR="00E2209E" w:rsidRPr="000C195D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B931A5" w:rsidRDefault="00B931A5" w:rsidP="00B931A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195D" w:rsidRDefault="000C195D" w:rsidP="000C195D">
            <w:pPr>
              <w:rPr>
                <w:sz w:val="20"/>
              </w:rPr>
            </w:pPr>
          </w:p>
          <w:p w:rsidR="00B931A5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B931A5" w:rsidRDefault="00B931A5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0C195D" w:rsidRDefault="000C195D" w:rsidP="00B931A5">
            <w:pPr>
              <w:rPr>
                <w:sz w:val="20"/>
              </w:rPr>
            </w:pPr>
          </w:p>
          <w:p w:rsidR="00B931A5" w:rsidRDefault="00B931A5" w:rsidP="00B931A5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0C195D" w:rsidRDefault="000C195D" w:rsidP="000C195D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0C195D" w:rsidRDefault="000C195D" w:rsidP="000C195D">
            <w:pPr>
              <w:rPr>
                <w:sz w:val="20"/>
              </w:rPr>
            </w:pPr>
          </w:p>
          <w:p w:rsidR="00B931A5" w:rsidRPr="006B40FF" w:rsidRDefault="000C195D" w:rsidP="000C1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Pr="006B40FF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B931A5" w:rsidRDefault="00B931A5" w:rsidP="00B931A5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Default="00694161" w:rsidP="00694161"/>
    <w:p w:rsidR="000C195D" w:rsidRDefault="000C195D">
      <w:pPr>
        <w:rPr>
          <w:b/>
          <w:u w:val="single"/>
        </w:rPr>
      </w:pPr>
      <w:r>
        <w:br w:type="page"/>
      </w:r>
    </w:p>
    <w:p w:rsidR="003D7B0B" w:rsidRDefault="00694161" w:rsidP="00666CE4">
      <w:pPr>
        <w:pStyle w:val="berschrift2"/>
      </w:pPr>
      <w:r w:rsidRPr="00666CE4">
        <w:lastRenderedPageBreak/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6B40FF" w:rsidRDefault="006B40FF" w:rsidP="006B40FF"/>
    <w:p w:rsidR="006B40FF" w:rsidRDefault="00B931A5" w:rsidP="006B40FF">
      <w:r>
        <w:t>Dem Bereich Zentrale Verwaltung und Unterbringung von Flüchtlingen stehen im Stellenplan 2020 insgesamt 43,80 Stellen zur Verfügung. An 5,30 Stellen ist ein KW-Vermerk 01/2022 aufgrund der in GRDrs</w:t>
      </w:r>
      <w:r w:rsidR="000C195D">
        <w:t>.</w:t>
      </w:r>
      <w:r>
        <w:t xml:space="preserve"> 987/2019 „Stellenplan 2020/2021 Stellenplanrelevante Entscheidungen aufgrund aktueller Entwicklungen im Flüchtlingsbereich - geschäftsübergreifend“ getroffenen Prognose zum 31.12.2020 angebracht</w:t>
      </w:r>
      <w:r w:rsidRPr="00C93012">
        <w:t>.</w:t>
      </w:r>
    </w:p>
    <w:p w:rsidR="00B931A5" w:rsidRDefault="00B931A5" w:rsidP="006B40FF"/>
    <w:p w:rsidR="00231DB3" w:rsidRPr="008D5168" w:rsidRDefault="00B931A5" w:rsidP="006F64CE">
      <w:r>
        <w:t xml:space="preserve">Aufgrund der Corona-Pandemie erfolgt die Fortschreibung der Stellenbemessung zum 31.12.2019 und nicht zum </w:t>
      </w:r>
      <w:r w:rsidR="0007274C">
        <w:t>31.12</w:t>
      </w:r>
      <w:r w:rsidR="00C93012" w:rsidRPr="00C93012">
        <w:t>.2020</w:t>
      </w:r>
      <w:r>
        <w:t>. Es wird davon ausgegangen, dass der Rückgang der Fallzahlen pandemiebedingt ist.</w:t>
      </w:r>
      <w:r w:rsidR="006D7C00">
        <w:t xml:space="preserve"> Der sich so ergebende Stellenüberhang im Umfang einer 0,67 Stelle wird gestrichen. Die Verlängerung der KW-Vermerke an insgesamt 4,63 Stellen wird zunächst bis 01/2024 beantragt.</w:t>
      </w:r>
    </w:p>
    <w:p w:rsidR="004D585E" w:rsidRDefault="004D585E" w:rsidP="006F64CE"/>
    <w:p w:rsidR="006D7C00" w:rsidRPr="00FD6E75" w:rsidRDefault="006D7C00" w:rsidP="006D7C00">
      <w:pPr>
        <w:rPr>
          <w:u w:val="single"/>
        </w:rPr>
      </w:pPr>
      <w:r w:rsidRPr="00FD6E75">
        <w:rPr>
          <w:u w:val="single"/>
        </w:rPr>
        <w:t>Aufgabe:</w:t>
      </w:r>
    </w:p>
    <w:p w:rsidR="006D7C00" w:rsidRPr="00FD6E75" w:rsidRDefault="006D7C00" w:rsidP="006D7C00">
      <w:r w:rsidRPr="00FD6E75">
        <w:t>- Zentrale Verwaltung und Unterbringung von Flüchtlingen</w:t>
      </w:r>
    </w:p>
    <w:p w:rsidR="006D7C00" w:rsidRDefault="006D7C00" w:rsidP="006D7C0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693"/>
        <w:gridCol w:w="1418"/>
        <w:gridCol w:w="1559"/>
      </w:tblGrid>
      <w:tr w:rsidR="006D7C00" w:rsidRPr="007943BC" w:rsidTr="006E0AA7">
        <w:tc>
          <w:tcPr>
            <w:tcW w:w="2263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31.12.2018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Zwischenstand </w:t>
            </w:r>
            <w:r w:rsidRPr="007943BC">
              <w:rPr>
                <w:rFonts w:eastAsiaTheme="minorEastAsia" w:cstheme="minorBidi"/>
                <w:sz w:val="20"/>
              </w:rPr>
              <w:br/>
              <w:t>Juli 2019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(Flüchtlingszahlen Stand 31.07.2019)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31.12.2019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0C195D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0C195D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0C195D">
              <w:rPr>
                <w:rFonts w:eastAsiaTheme="minorEastAsia" w:cstheme="minorBidi"/>
                <w:sz w:val="20"/>
              </w:rPr>
              <w:t>31.12.202</w:t>
            </w:r>
            <w:r w:rsidR="002C318C" w:rsidRPr="000C195D">
              <w:rPr>
                <w:rFonts w:eastAsiaTheme="minorEastAsia" w:cstheme="minorBidi"/>
                <w:sz w:val="20"/>
              </w:rPr>
              <w:t>0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(nachrichtlich)</w:t>
            </w:r>
          </w:p>
        </w:tc>
      </w:tr>
      <w:tr w:rsidR="006D7C00" w:rsidRPr="007943BC" w:rsidTr="006E0AA7">
        <w:tc>
          <w:tcPr>
            <w:tcW w:w="2263" w:type="dxa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Anzahl</w:t>
            </w: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Flüchtlinge</w:t>
            </w:r>
          </w:p>
        </w:tc>
        <w:tc>
          <w:tcPr>
            <w:tcW w:w="1418" w:type="dxa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6.585</w:t>
            </w:r>
          </w:p>
        </w:tc>
        <w:tc>
          <w:tcPr>
            <w:tcW w:w="2693" w:type="dxa"/>
          </w:tcPr>
          <w:p w:rsidR="006D7C00" w:rsidRPr="007943BC" w:rsidRDefault="006D7C00" w:rsidP="006E0AA7">
            <w:pPr>
              <w:tabs>
                <w:tab w:val="left" w:pos="1075"/>
              </w:tabs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6.251</w:t>
            </w:r>
          </w:p>
          <w:p w:rsidR="006D7C00" w:rsidRPr="007943BC" w:rsidRDefault="006D7C00" w:rsidP="006E0AA7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</w:tcPr>
          <w:p w:rsidR="006D7C00" w:rsidRPr="007943BC" w:rsidRDefault="006D7C00" w:rsidP="006E0AA7">
            <w:pPr>
              <w:tabs>
                <w:tab w:val="left" w:pos="1075"/>
              </w:tabs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tabs>
                <w:tab w:val="left" w:pos="1075"/>
              </w:tabs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5.866</w:t>
            </w:r>
          </w:p>
        </w:tc>
        <w:tc>
          <w:tcPr>
            <w:tcW w:w="1559" w:type="dxa"/>
          </w:tcPr>
          <w:p w:rsidR="006D7C00" w:rsidRPr="007943BC" w:rsidRDefault="006D7C00" w:rsidP="006E0AA7">
            <w:pPr>
              <w:tabs>
                <w:tab w:val="left" w:pos="1075"/>
              </w:tabs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4.736</w:t>
            </w:r>
          </w:p>
        </w:tc>
      </w:tr>
      <w:tr w:rsidR="006D7C00" w:rsidRPr="007943BC" w:rsidTr="006E0AA7">
        <w:tc>
          <w:tcPr>
            <w:tcW w:w="2263" w:type="dxa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Stellenschlüssel</w:t>
            </w: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1:136</w:t>
            </w:r>
          </w:p>
        </w:tc>
        <w:tc>
          <w:tcPr>
            <w:tcW w:w="2693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1:136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1:136</w:t>
            </w:r>
          </w:p>
        </w:tc>
        <w:tc>
          <w:tcPr>
            <w:tcW w:w="1559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1:136</w:t>
            </w:r>
          </w:p>
        </w:tc>
      </w:tr>
      <w:tr w:rsidR="006D7C00" w:rsidRPr="007943BC" w:rsidTr="006E0AA7">
        <w:tc>
          <w:tcPr>
            <w:tcW w:w="2263" w:type="dxa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Personalbedarf  (VZK)</w:t>
            </w:r>
            <w:r w:rsidRPr="007943BC">
              <w:rPr>
                <w:rFonts w:eastAsiaTheme="minorEastAsia" w:cstheme="minorBidi"/>
                <w:sz w:val="20"/>
              </w:rPr>
              <w:br/>
              <w:t>(gerundet)</w:t>
            </w: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48,42 </w:t>
            </w:r>
          </w:p>
        </w:tc>
        <w:tc>
          <w:tcPr>
            <w:tcW w:w="2693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46,00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43,13</w:t>
            </w:r>
          </w:p>
        </w:tc>
        <w:tc>
          <w:tcPr>
            <w:tcW w:w="1559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34,82</w:t>
            </w:r>
          </w:p>
        </w:tc>
      </w:tr>
      <w:tr w:rsidR="006D7C00" w:rsidRPr="007943BC" w:rsidTr="006E0AA7">
        <w:tc>
          <w:tcPr>
            <w:tcW w:w="2263" w:type="dxa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Vorhandene Stellen </w:t>
            </w: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Stellenplan 2019</w:t>
            </w: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+ </w:t>
            </w: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Stellenplan 2020</w:t>
            </w:r>
          </w:p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aktuelle Beschlusslage</w:t>
            </w:r>
          </w:p>
        </w:tc>
        <w:tc>
          <w:tcPr>
            <w:tcW w:w="4111" w:type="dxa"/>
            <w:gridSpan w:val="2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48,50 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  <w:u w:val="single"/>
              </w:rPr>
            </w:pPr>
            <w:r w:rsidRPr="007943BC">
              <w:rPr>
                <w:rFonts w:eastAsiaTheme="minorEastAsia" w:cstheme="minorBidi"/>
                <w:sz w:val="20"/>
                <w:u w:val="single"/>
              </w:rPr>
              <w:t>- 2,85*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45,65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(davon 5,30 mit KW-Vermerk 01/2021)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45,65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  <w:u w:val="single"/>
              </w:rPr>
            </w:pPr>
            <w:r w:rsidRPr="007943BC">
              <w:rPr>
                <w:rFonts w:eastAsiaTheme="minorEastAsia" w:cstheme="minorBidi"/>
                <w:sz w:val="20"/>
                <w:u w:val="single"/>
              </w:rPr>
              <w:t>-1,85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43,80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(davon 5,30 mit KW-Vermerk 01/2022)</w:t>
            </w:r>
          </w:p>
        </w:tc>
        <w:tc>
          <w:tcPr>
            <w:tcW w:w="1559" w:type="dxa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</w:tr>
      <w:tr w:rsidR="006D7C00" w:rsidRPr="007943BC" w:rsidTr="006E0A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Stellenüberhang zum 31.12.2020</w:t>
            </w:r>
          </w:p>
        </w:tc>
        <w:tc>
          <w:tcPr>
            <w:tcW w:w="4111" w:type="dxa"/>
            <w:gridSpan w:val="2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       0,67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8,98</w:t>
            </w:r>
          </w:p>
        </w:tc>
      </w:tr>
      <w:tr w:rsidR="006D7C00" w:rsidRPr="007943BC" w:rsidTr="006E0AA7">
        <w:trPr>
          <w:trHeight w:val="5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Streichung zum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31.12.2021</w:t>
            </w:r>
          </w:p>
        </w:tc>
        <w:tc>
          <w:tcPr>
            <w:tcW w:w="4111" w:type="dxa"/>
            <w:gridSpan w:val="2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 xml:space="preserve">       0,67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----</w:t>
            </w:r>
          </w:p>
        </w:tc>
      </w:tr>
      <w:tr w:rsidR="006D7C00" w:rsidRPr="007943BC" w:rsidTr="006E0A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Verlängerung von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KW-Vermerken</w:t>
            </w: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KW 01/2024</w:t>
            </w:r>
          </w:p>
        </w:tc>
        <w:tc>
          <w:tcPr>
            <w:tcW w:w="4111" w:type="dxa"/>
            <w:gridSpan w:val="2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4,63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</w:tr>
      <w:tr w:rsidR="006D7C00" w:rsidRPr="007943BC" w:rsidTr="006E0A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Neuer Stellenbestand 2022</w:t>
            </w:r>
          </w:p>
        </w:tc>
        <w:tc>
          <w:tcPr>
            <w:tcW w:w="4111" w:type="dxa"/>
            <w:gridSpan w:val="2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  <w:r w:rsidRPr="007943BC">
              <w:rPr>
                <w:rFonts w:eastAsiaTheme="minorEastAsia" w:cstheme="minorBidi"/>
                <w:sz w:val="20"/>
              </w:rPr>
              <w:t>43,13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  <w:p w:rsidR="006D7C00" w:rsidRPr="007943BC" w:rsidRDefault="006D7C00" w:rsidP="006E0AA7">
            <w:pPr>
              <w:jc w:val="center"/>
              <w:rPr>
                <w:rFonts w:eastAsiaTheme="minorEastAsia" w:cstheme="minorBidi"/>
                <w:sz w:val="20"/>
              </w:rPr>
            </w:pPr>
          </w:p>
        </w:tc>
      </w:tr>
    </w:tbl>
    <w:p w:rsidR="000C195D" w:rsidRPr="000C195D" w:rsidRDefault="000C195D" w:rsidP="006F64CE">
      <w:pPr>
        <w:rPr>
          <w:sz w:val="10"/>
        </w:rPr>
      </w:pPr>
    </w:p>
    <w:p w:rsidR="006D7C00" w:rsidRPr="008D5168" w:rsidRDefault="006D7C00" w:rsidP="006F64CE">
      <w:r w:rsidRPr="007943BC">
        <w:rPr>
          <w:sz w:val="20"/>
        </w:rPr>
        <w:t>* Bereinigung der Flüchtlingsstellenanteile im Bereich Personalsachbearbeitung (50-11) und</w:t>
      </w:r>
      <w:r>
        <w:rPr>
          <w:sz w:val="20"/>
        </w:rPr>
        <w:t xml:space="preserve"> im Geschäftszimmer (50-1G) im Zuge der OU Personalsachbearbeitung (vgl. GRDrs 1051/2019 „Stellenplan 2020/2021 1. Organisationsuntersuchung Personalsachbearbeitung – Abschlussbericht 2. Stellenplanrechtliche Aus-wirkungen - geschäftskreisübergreifend“).</w:t>
      </w:r>
    </w:p>
    <w:sectPr w:rsidR="006D7C00" w:rsidRPr="008D516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BE" w:rsidRDefault="004542BE">
      <w:r>
        <w:separator/>
      </w:r>
    </w:p>
  </w:endnote>
  <w:endnote w:type="continuationSeparator" w:id="0">
    <w:p w:rsidR="004542BE" w:rsidRDefault="0045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BE" w:rsidRDefault="004542BE">
      <w:r>
        <w:separator/>
      </w:r>
    </w:p>
  </w:footnote>
  <w:footnote w:type="continuationSeparator" w:id="0">
    <w:p w:rsidR="004542BE" w:rsidRDefault="0045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6628FE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C"/>
    <w:rsid w:val="0007274C"/>
    <w:rsid w:val="0007798B"/>
    <w:rsid w:val="000A1146"/>
    <w:rsid w:val="000B6407"/>
    <w:rsid w:val="000C195D"/>
    <w:rsid w:val="000D6946"/>
    <w:rsid w:val="000E4C4B"/>
    <w:rsid w:val="00127258"/>
    <w:rsid w:val="001403DB"/>
    <w:rsid w:val="00153F44"/>
    <w:rsid w:val="00165C0D"/>
    <w:rsid w:val="00181578"/>
    <w:rsid w:val="00181857"/>
    <w:rsid w:val="00193A16"/>
    <w:rsid w:val="00197CF3"/>
    <w:rsid w:val="001C35C7"/>
    <w:rsid w:val="001D2FD2"/>
    <w:rsid w:val="00213C7A"/>
    <w:rsid w:val="00215971"/>
    <w:rsid w:val="00224A04"/>
    <w:rsid w:val="00231DB3"/>
    <w:rsid w:val="0023350C"/>
    <w:rsid w:val="002402DD"/>
    <w:rsid w:val="002812E4"/>
    <w:rsid w:val="002924CB"/>
    <w:rsid w:val="002C03BA"/>
    <w:rsid w:val="002C1832"/>
    <w:rsid w:val="002C2ECA"/>
    <w:rsid w:val="002C318C"/>
    <w:rsid w:val="002E14E4"/>
    <w:rsid w:val="002E442C"/>
    <w:rsid w:val="00303DAD"/>
    <w:rsid w:val="00321D15"/>
    <w:rsid w:val="003235CA"/>
    <w:rsid w:val="00394BB8"/>
    <w:rsid w:val="003B4312"/>
    <w:rsid w:val="003C05EE"/>
    <w:rsid w:val="003D7B0B"/>
    <w:rsid w:val="004054DF"/>
    <w:rsid w:val="00430818"/>
    <w:rsid w:val="00436B6D"/>
    <w:rsid w:val="004542BE"/>
    <w:rsid w:val="00462FF4"/>
    <w:rsid w:val="00465C46"/>
    <w:rsid w:val="00485E37"/>
    <w:rsid w:val="004A6E7A"/>
    <w:rsid w:val="004B6796"/>
    <w:rsid w:val="004D585E"/>
    <w:rsid w:val="00573F2E"/>
    <w:rsid w:val="005856C2"/>
    <w:rsid w:val="005B66A6"/>
    <w:rsid w:val="005B7E5F"/>
    <w:rsid w:val="006134E1"/>
    <w:rsid w:val="00644FA8"/>
    <w:rsid w:val="006628FE"/>
    <w:rsid w:val="00666CE4"/>
    <w:rsid w:val="00676A80"/>
    <w:rsid w:val="00686C74"/>
    <w:rsid w:val="00694161"/>
    <w:rsid w:val="006A55CB"/>
    <w:rsid w:val="006B40FF"/>
    <w:rsid w:val="006D7C00"/>
    <w:rsid w:val="006E0575"/>
    <w:rsid w:val="006F64CE"/>
    <w:rsid w:val="00723653"/>
    <w:rsid w:val="00781F32"/>
    <w:rsid w:val="007879B1"/>
    <w:rsid w:val="007B200C"/>
    <w:rsid w:val="007B57B1"/>
    <w:rsid w:val="007E5E31"/>
    <w:rsid w:val="008301D2"/>
    <w:rsid w:val="00856812"/>
    <w:rsid w:val="0086273E"/>
    <w:rsid w:val="0086387B"/>
    <w:rsid w:val="00877A39"/>
    <w:rsid w:val="00884D6C"/>
    <w:rsid w:val="008968C9"/>
    <w:rsid w:val="008D5168"/>
    <w:rsid w:val="008F409A"/>
    <w:rsid w:val="00A1159D"/>
    <w:rsid w:val="00A3277C"/>
    <w:rsid w:val="00A34898"/>
    <w:rsid w:val="00A4179B"/>
    <w:rsid w:val="00A509C5"/>
    <w:rsid w:val="00A77F1E"/>
    <w:rsid w:val="00A833A7"/>
    <w:rsid w:val="00A8520B"/>
    <w:rsid w:val="00A85985"/>
    <w:rsid w:val="00AD784D"/>
    <w:rsid w:val="00AE10D7"/>
    <w:rsid w:val="00B04290"/>
    <w:rsid w:val="00B133DE"/>
    <w:rsid w:val="00B16A7D"/>
    <w:rsid w:val="00B45BDD"/>
    <w:rsid w:val="00B66C18"/>
    <w:rsid w:val="00B72D18"/>
    <w:rsid w:val="00B80DEF"/>
    <w:rsid w:val="00B931A5"/>
    <w:rsid w:val="00BF209E"/>
    <w:rsid w:val="00C074C7"/>
    <w:rsid w:val="00C33C9C"/>
    <w:rsid w:val="00C429E7"/>
    <w:rsid w:val="00C448D3"/>
    <w:rsid w:val="00C56126"/>
    <w:rsid w:val="00C6569F"/>
    <w:rsid w:val="00C777D6"/>
    <w:rsid w:val="00C91E57"/>
    <w:rsid w:val="00C93012"/>
    <w:rsid w:val="00CF3B55"/>
    <w:rsid w:val="00D24277"/>
    <w:rsid w:val="00D46290"/>
    <w:rsid w:val="00D70CB3"/>
    <w:rsid w:val="00D85EA0"/>
    <w:rsid w:val="00DC56F5"/>
    <w:rsid w:val="00E1162F"/>
    <w:rsid w:val="00E11D5F"/>
    <w:rsid w:val="00E2209E"/>
    <w:rsid w:val="00E60CED"/>
    <w:rsid w:val="00E64759"/>
    <w:rsid w:val="00E97935"/>
    <w:rsid w:val="00EB7161"/>
    <w:rsid w:val="00EC58C5"/>
    <w:rsid w:val="00EC78CB"/>
    <w:rsid w:val="00ED4ABD"/>
    <w:rsid w:val="00EE7F03"/>
    <w:rsid w:val="00EF4BCB"/>
    <w:rsid w:val="00F05F23"/>
    <w:rsid w:val="00F27657"/>
    <w:rsid w:val="00F3775A"/>
    <w:rsid w:val="00FC09C2"/>
    <w:rsid w:val="00FC24F0"/>
    <w:rsid w:val="00FE067C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96B55"/>
  <w15:docId w15:val="{A161FFA9-DBB5-4807-8989-1B55C2E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0B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4B10-6C2D-417D-8AA8-5007B2DA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Bachmeier, Lisa</dc:creator>
  <dc:description/>
  <cp:lastModifiedBy>Baumann, Gerhard</cp:lastModifiedBy>
  <cp:revision>15</cp:revision>
  <cp:lastPrinted>2021-10-05T08:25:00Z</cp:lastPrinted>
  <dcterms:created xsi:type="dcterms:W3CDTF">2021-01-14T15:02:00Z</dcterms:created>
  <dcterms:modified xsi:type="dcterms:W3CDTF">2021-10-05T08:25:00Z</dcterms:modified>
</cp:coreProperties>
</file>