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E90CE5">
        <w:t>21</w:t>
      </w:r>
      <w:r w:rsidRPr="006E0575">
        <w:t xml:space="preserve"> zur GRDrs </w:t>
      </w:r>
      <w:r w:rsidR="00E90CE5">
        <w:t>705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6078F4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1D22AF" w:rsidP="0030686C">
            <w:pPr>
              <w:rPr>
                <w:sz w:val="20"/>
              </w:rPr>
            </w:pPr>
            <w:r>
              <w:rPr>
                <w:sz w:val="20"/>
              </w:rPr>
              <w:t>50</w:t>
            </w:r>
            <w:r w:rsidR="00460778">
              <w:rPr>
                <w:sz w:val="20"/>
              </w:rPr>
              <w:t>-32</w:t>
            </w:r>
            <w:r w:rsidR="000A6C43">
              <w:rPr>
                <w:sz w:val="20"/>
              </w:rPr>
              <w:t xml:space="preserve"> + 15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5F5B3D" w:rsidRPr="001D22AF" w:rsidRDefault="001D22AF" w:rsidP="001D22AF">
            <w:pPr>
              <w:rPr>
                <w:rFonts w:cs="Arial"/>
                <w:sz w:val="20"/>
                <w:szCs w:val="20"/>
              </w:rPr>
            </w:pPr>
            <w:r w:rsidRPr="001D22AF">
              <w:rPr>
                <w:rFonts w:cs="Arial"/>
                <w:sz w:val="20"/>
                <w:szCs w:val="20"/>
              </w:rPr>
              <w:t>50305040</w:t>
            </w:r>
            <w:r w:rsidR="000A6C43">
              <w:rPr>
                <w:rFonts w:cs="Arial"/>
                <w:sz w:val="20"/>
                <w:szCs w:val="20"/>
              </w:rPr>
              <w:t xml:space="preserve"> + 15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0A6C43" w:rsidRDefault="001E3C55" w:rsidP="0030686C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  <w:r w:rsidR="000A6C43">
              <w:rPr>
                <w:sz w:val="20"/>
              </w:rPr>
              <w:t xml:space="preserve"> +</w:t>
            </w:r>
          </w:p>
          <w:p w:rsidR="005F5B3D" w:rsidRPr="006E0575" w:rsidRDefault="000A6C43" w:rsidP="0030686C">
            <w:pPr>
              <w:rPr>
                <w:sz w:val="20"/>
              </w:rPr>
            </w:pPr>
            <w:r>
              <w:rPr>
                <w:sz w:val="20"/>
              </w:rPr>
              <w:t>Bezirksämter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60778" w:rsidP="00460778">
            <w:pPr>
              <w:rPr>
                <w:sz w:val="20"/>
              </w:rPr>
            </w:pPr>
            <w:r>
              <w:rPr>
                <w:sz w:val="20"/>
              </w:rPr>
              <w:t>A 8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6448C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60778" w:rsidP="0030686C">
            <w:pPr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60778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  <w:r w:rsidR="0072799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 w:rsidR="0072799A">
              <w:rPr>
                <w:sz w:val="20"/>
              </w:rPr>
            </w:r>
            <w:r w:rsidR="0072799A">
              <w:rPr>
                <w:sz w:val="20"/>
              </w:rPr>
              <w:fldChar w:fldCharType="separate"/>
            </w:r>
            <w:r w:rsidR="0078144C">
              <w:rPr>
                <w:noProof/>
                <w:sz w:val="20"/>
              </w:rPr>
              <w:t> </w:t>
            </w:r>
            <w:r w:rsidR="0078144C">
              <w:rPr>
                <w:noProof/>
                <w:sz w:val="20"/>
              </w:rPr>
              <w:t> </w:t>
            </w:r>
            <w:r w:rsidR="0078144C">
              <w:rPr>
                <w:noProof/>
                <w:sz w:val="20"/>
              </w:rPr>
              <w:t> </w:t>
            </w:r>
            <w:r w:rsidR="0078144C">
              <w:rPr>
                <w:noProof/>
                <w:sz w:val="20"/>
              </w:rPr>
              <w:t> </w:t>
            </w:r>
            <w:r w:rsidR="0078144C">
              <w:rPr>
                <w:noProof/>
                <w:sz w:val="20"/>
              </w:rPr>
              <w:t> </w:t>
            </w:r>
            <w:r w:rsidR="0072799A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90CE5" w:rsidP="0030686C">
            <w:pPr>
              <w:rPr>
                <w:sz w:val="20"/>
              </w:rPr>
            </w:pPr>
            <w:r>
              <w:rPr>
                <w:sz w:val="20"/>
              </w:rPr>
              <w:t>123.520</w:t>
            </w:r>
          </w:p>
        </w:tc>
      </w:tr>
      <w:tr w:rsidR="00460778" w:rsidRPr="006E0575" w:rsidTr="00460778">
        <w:trPr>
          <w:trHeight w:val="982"/>
        </w:trPr>
        <w:tc>
          <w:tcPr>
            <w:tcW w:w="1814" w:type="dxa"/>
          </w:tcPr>
          <w:p w:rsidR="00460778" w:rsidRDefault="00460778" w:rsidP="0030686C">
            <w:pPr>
              <w:rPr>
                <w:sz w:val="20"/>
              </w:rPr>
            </w:pPr>
          </w:p>
          <w:p w:rsidR="00460778" w:rsidRDefault="00460778" w:rsidP="00460778">
            <w:pPr>
              <w:rPr>
                <w:sz w:val="20"/>
              </w:rPr>
            </w:pPr>
            <w:r>
              <w:rPr>
                <w:sz w:val="20"/>
              </w:rPr>
              <w:t>50-32</w:t>
            </w:r>
          </w:p>
          <w:p w:rsidR="00460778" w:rsidRDefault="00460778" w:rsidP="00460778">
            <w:pPr>
              <w:rPr>
                <w:sz w:val="20"/>
              </w:rPr>
            </w:pPr>
          </w:p>
          <w:p w:rsidR="00460778" w:rsidRDefault="00460778" w:rsidP="00460778">
            <w:pPr>
              <w:rPr>
                <w:sz w:val="20"/>
              </w:rPr>
            </w:pPr>
            <w:r w:rsidRPr="001D22AF">
              <w:rPr>
                <w:rFonts w:cs="Arial"/>
                <w:sz w:val="20"/>
                <w:szCs w:val="20"/>
              </w:rPr>
              <w:t>50305040</w:t>
            </w:r>
          </w:p>
        </w:tc>
        <w:tc>
          <w:tcPr>
            <w:tcW w:w="1701" w:type="dxa"/>
          </w:tcPr>
          <w:p w:rsidR="00460778" w:rsidRDefault="00460778" w:rsidP="0030686C">
            <w:pPr>
              <w:rPr>
                <w:sz w:val="20"/>
              </w:rPr>
            </w:pPr>
          </w:p>
          <w:p w:rsidR="00460778" w:rsidRDefault="00460778" w:rsidP="00460778">
            <w:pPr>
              <w:rPr>
                <w:sz w:val="20"/>
              </w:rPr>
            </w:pPr>
            <w:r>
              <w:rPr>
                <w:sz w:val="20"/>
              </w:rPr>
              <w:t>Sozialamt +</w:t>
            </w:r>
          </w:p>
          <w:p w:rsidR="00460778" w:rsidRDefault="00460778" w:rsidP="00460778">
            <w:pPr>
              <w:rPr>
                <w:sz w:val="20"/>
              </w:rPr>
            </w:pPr>
            <w:r>
              <w:rPr>
                <w:sz w:val="20"/>
              </w:rPr>
              <w:t>Bezirksämter</w:t>
            </w:r>
          </w:p>
        </w:tc>
        <w:tc>
          <w:tcPr>
            <w:tcW w:w="794" w:type="dxa"/>
          </w:tcPr>
          <w:p w:rsidR="00460778" w:rsidRDefault="00460778" w:rsidP="0030686C">
            <w:pPr>
              <w:rPr>
                <w:sz w:val="20"/>
              </w:rPr>
            </w:pPr>
          </w:p>
          <w:p w:rsidR="00460778" w:rsidRDefault="00460778" w:rsidP="0030686C">
            <w:pPr>
              <w:rPr>
                <w:sz w:val="20"/>
              </w:rPr>
            </w:pPr>
            <w:r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460778" w:rsidRDefault="00460778" w:rsidP="0030686C">
            <w:pPr>
              <w:rPr>
                <w:sz w:val="20"/>
              </w:rPr>
            </w:pPr>
          </w:p>
          <w:p w:rsidR="00460778" w:rsidRDefault="0096448C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Sachbearbeiter/-in </w:t>
            </w:r>
            <w:r w:rsidR="00460778">
              <w:rPr>
                <w:sz w:val="20"/>
              </w:rPr>
              <w:t>Fachberatung</w:t>
            </w:r>
          </w:p>
        </w:tc>
        <w:tc>
          <w:tcPr>
            <w:tcW w:w="737" w:type="dxa"/>
            <w:shd w:val="pct12" w:color="auto" w:fill="FFFFFF"/>
          </w:tcPr>
          <w:p w:rsidR="00460778" w:rsidRDefault="00460778" w:rsidP="0030686C">
            <w:pPr>
              <w:rPr>
                <w:sz w:val="20"/>
              </w:rPr>
            </w:pPr>
          </w:p>
          <w:p w:rsidR="00460778" w:rsidRDefault="00460778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60778" w:rsidRDefault="00460778" w:rsidP="0030686C">
            <w:pPr>
              <w:rPr>
                <w:sz w:val="20"/>
              </w:rPr>
            </w:pPr>
          </w:p>
          <w:p w:rsidR="00460778" w:rsidRDefault="00460778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460778" w:rsidRDefault="00460778" w:rsidP="0030686C">
            <w:pPr>
              <w:rPr>
                <w:sz w:val="20"/>
              </w:rPr>
            </w:pPr>
          </w:p>
          <w:p w:rsidR="00E90CE5" w:rsidRDefault="00E90CE5" w:rsidP="0030686C">
            <w:pPr>
              <w:rPr>
                <w:sz w:val="20"/>
              </w:rPr>
            </w:pPr>
            <w:r>
              <w:rPr>
                <w:sz w:val="20"/>
              </w:rPr>
              <w:t>89.000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934BD" w:rsidRDefault="00E90CE5" w:rsidP="001E3C55">
      <w:pPr>
        <w:pStyle w:val="Default"/>
      </w:pPr>
      <w:r>
        <w:t>Geschaffen</w:t>
      </w:r>
      <w:r w:rsidR="00460778">
        <w:t xml:space="preserve"> werden </w:t>
      </w:r>
      <w:r w:rsidR="00B934BD">
        <w:t xml:space="preserve">1,6 </w:t>
      </w:r>
      <w:r w:rsidR="00460778">
        <w:t>Stellen</w:t>
      </w:r>
      <w:r w:rsidR="00B934BD">
        <w:t xml:space="preserve"> </w:t>
      </w:r>
      <w:r w:rsidR="00460778">
        <w:t xml:space="preserve">für die Sachbearbeitung </w:t>
      </w:r>
      <w:r w:rsidR="00B934BD">
        <w:t xml:space="preserve">im Sachgebiet Wohngeld bei der Abteilung Wohngeld, Sozialversicherung, Aussiedler </w:t>
      </w:r>
      <w:r w:rsidR="00460778">
        <w:t xml:space="preserve">und </w:t>
      </w:r>
      <w:r w:rsidR="00B934BD">
        <w:t xml:space="preserve">Lastenausgleich (50-32) und bei den Bezirksämtern sowie </w:t>
      </w:r>
      <w:r w:rsidR="00646C06">
        <w:t xml:space="preserve">1,0 </w:t>
      </w:r>
      <w:r w:rsidR="00B934BD">
        <w:t>Stelle für die Fachberatung im Sachgebiet Wohngeld.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44102E" w:rsidRPr="0044102E" w:rsidRDefault="0044102E" w:rsidP="0044102E"/>
    <w:p w:rsidR="003D7B0B" w:rsidRDefault="00997016" w:rsidP="00884D6C">
      <w:r>
        <w:t>Mit GRDrs</w:t>
      </w:r>
      <w:r w:rsidR="0096448C">
        <w:t>.</w:t>
      </w:r>
      <w:r>
        <w:t xml:space="preserve"> 606/2021 </w:t>
      </w:r>
      <w:r w:rsidR="00A31E57">
        <w:t xml:space="preserve">hat der Gemeinderat von der laufenden Organisationsuntersuchung bei der Wohngeldstelle und dem </w:t>
      </w:r>
      <w:r w:rsidR="00646C06">
        <w:t xml:space="preserve">zusätzlichen </w:t>
      </w:r>
      <w:r w:rsidR="00A31E57">
        <w:t>Personalbedarf Kenntnis genommen.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96448C" w:rsidRDefault="003D7B0B" w:rsidP="00884D6C"/>
    <w:p w:rsidR="00270DC1" w:rsidRPr="0096448C" w:rsidRDefault="00A31E57" w:rsidP="00270DC1">
      <w:pPr>
        <w:pStyle w:val="Default"/>
      </w:pPr>
      <w:r w:rsidRPr="0096448C">
        <w:t xml:space="preserve">Mit den Stellenschaffungen sollen 2,6 der </w:t>
      </w:r>
      <w:r w:rsidR="00270DC1" w:rsidRPr="0096448C">
        <w:t xml:space="preserve">10,0 </w:t>
      </w:r>
      <w:r w:rsidRPr="0096448C">
        <w:t>mit GRDrs</w:t>
      </w:r>
      <w:r w:rsidR="0096448C">
        <w:t>.</w:t>
      </w:r>
      <w:r w:rsidRPr="0096448C">
        <w:t xml:space="preserve"> 606/2021 eingerichteten Ermächtigungen abgelöst werden. </w:t>
      </w:r>
    </w:p>
    <w:p w:rsidR="00270DC1" w:rsidRPr="0096448C" w:rsidRDefault="00270DC1" w:rsidP="00270DC1">
      <w:pPr>
        <w:pStyle w:val="Default"/>
      </w:pPr>
    </w:p>
    <w:p w:rsidR="00270DC1" w:rsidRPr="00165C0D" w:rsidRDefault="00270DC1" w:rsidP="00270DC1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270DC1" w:rsidRDefault="00270DC1" w:rsidP="00270DC1"/>
    <w:p w:rsidR="00646C06" w:rsidRPr="00284CA6" w:rsidRDefault="00646C06" w:rsidP="00646C06">
      <w:r w:rsidRPr="00284CA6">
        <w:t xml:space="preserve">Bei der Wohngeldstelle des Sozialamtes und den entsprechenden Dienststellen in den Bezirksämtern kommt es seit geraumer Zeit zu Rückständen in der </w:t>
      </w:r>
      <w:r>
        <w:t>Wohngeldsachbearbeitung</w:t>
      </w:r>
      <w:r w:rsidRPr="00284CA6">
        <w:t>, zu Überlastung und Unzufriedenheit in der Belegschaft. In der Folge kommt es</w:t>
      </w:r>
      <w:r>
        <w:t xml:space="preserve"> zu einer hohen Fluktuation und einer stark sinkenden</w:t>
      </w:r>
      <w:r w:rsidRPr="00284CA6">
        <w:t xml:space="preserve"> Qualität der Einarbeitung. Aus </w:t>
      </w:r>
      <w:r w:rsidRPr="00284CA6">
        <w:lastRenderedPageBreak/>
        <w:t xml:space="preserve">diesem Grund wurde im Juni 2020 eine Organisationsuntersuchung in diesen Bereichen </w:t>
      </w:r>
      <w:r w:rsidR="00E94172">
        <w:t>initiiert.</w:t>
      </w:r>
    </w:p>
    <w:p w:rsidR="00646C06" w:rsidRPr="00284CA6" w:rsidRDefault="00646C06" w:rsidP="00646C06"/>
    <w:p w:rsidR="006771A3" w:rsidRPr="00284CA6" w:rsidRDefault="00646C06" w:rsidP="006771A3">
      <w:r>
        <w:rPr>
          <w:szCs w:val="22"/>
        </w:rPr>
        <w:t>Mit GRDrs</w:t>
      </w:r>
      <w:r w:rsidR="0096448C">
        <w:rPr>
          <w:szCs w:val="22"/>
        </w:rPr>
        <w:t>.</w:t>
      </w:r>
      <w:r>
        <w:rPr>
          <w:szCs w:val="22"/>
        </w:rPr>
        <w:t xml:space="preserve"> 606/2021 wurden </w:t>
      </w:r>
      <w:bookmarkStart w:id="0" w:name="_GoBack"/>
      <w:bookmarkEnd w:id="0"/>
      <w:r>
        <w:rPr>
          <w:szCs w:val="22"/>
        </w:rPr>
        <w:t>insgesamt 10,00 Ermächtigungen</w:t>
      </w:r>
      <w:r w:rsidR="006771A3">
        <w:rPr>
          <w:szCs w:val="22"/>
        </w:rPr>
        <w:t>,</w:t>
      </w:r>
      <w:r>
        <w:rPr>
          <w:szCs w:val="22"/>
        </w:rPr>
        <w:t xml:space="preserve"> befristet bis zum 31.12</w:t>
      </w:r>
      <w:r w:rsidR="0096448C">
        <w:rPr>
          <w:szCs w:val="22"/>
        </w:rPr>
        <w:t>.2022</w:t>
      </w:r>
      <w:r w:rsidR="006771A3">
        <w:rPr>
          <w:szCs w:val="22"/>
        </w:rPr>
        <w:t>,</w:t>
      </w:r>
      <w:r>
        <w:rPr>
          <w:szCs w:val="22"/>
        </w:rPr>
        <w:t xml:space="preserve"> zur Einstellung von Personal beschlossen. </w:t>
      </w:r>
      <w:r w:rsidR="006771A3">
        <w:rPr>
          <w:szCs w:val="22"/>
        </w:rPr>
        <w:t>Wie mit den Ermächtigungen verfahren wird, die nicht durch Stellen abgelöst werden,</w:t>
      </w:r>
      <w:r w:rsidR="006771A3" w:rsidRPr="00C268D7">
        <w:t xml:space="preserve"> hängt </w:t>
      </w:r>
      <w:r w:rsidR="006771A3">
        <w:t xml:space="preserve">von den Ergebnissen der ergänzenden Personalbemessung ab. </w:t>
      </w:r>
      <w:r w:rsidR="006771A3" w:rsidRPr="00284CA6">
        <w:t xml:space="preserve">Das Projektende </w:t>
      </w:r>
      <w:r w:rsidR="006771A3">
        <w:t>wird</w:t>
      </w:r>
      <w:r w:rsidR="006771A3" w:rsidRPr="00284CA6">
        <w:t xml:space="preserve"> nach der </w:t>
      </w:r>
      <w:r w:rsidR="006771A3">
        <w:t>e</w:t>
      </w:r>
      <w:r w:rsidR="006771A3" w:rsidRPr="00284CA6">
        <w:t>rforderlich</w:t>
      </w:r>
      <w:r w:rsidR="006771A3">
        <w:t>en</w:t>
      </w:r>
      <w:r w:rsidR="006771A3" w:rsidRPr="00284CA6">
        <w:t xml:space="preserve"> Verlängerung </w:t>
      </w:r>
      <w:r w:rsidR="006771A3">
        <w:t xml:space="preserve">voraussichtlich </w:t>
      </w:r>
      <w:r w:rsidR="006771A3" w:rsidRPr="00284CA6">
        <w:t>im Frühjahr 2022 liegen, was jedoch von der weiteren Entwicklung im Bereich Wohngeld abhängt. Ein umfassender Bericht</w:t>
      </w:r>
      <w:r w:rsidR="006771A3">
        <w:t xml:space="preserve"> über die Ergebnisse der Organisationsuntersuchung</w:t>
      </w:r>
      <w:r w:rsidR="006771A3" w:rsidRPr="00284CA6">
        <w:t xml:space="preserve"> wird</w:t>
      </w:r>
      <w:r w:rsidR="006771A3">
        <w:t xml:space="preserve"> nach Abschluss des Projektes</w:t>
      </w:r>
      <w:r w:rsidR="006771A3" w:rsidRPr="00284CA6">
        <w:t xml:space="preserve"> seitens der Verwaltung vorgelegt.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270DC1" w:rsidP="00884D6C">
      <w:r>
        <w:t>Es könnte keine personelle Verstärkung über Beschäftigte im Beamtenverhältnis erfolgen, wodurch die Personalauswahl deutlich eingeschränkt wäre.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270DC1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55" w:rsidRDefault="001E3C55">
      <w:r>
        <w:separator/>
      </w:r>
    </w:p>
  </w:endnote>
  <w:endnote w:type="continuationSeparator" w:id="0">
    <w:p w:rsidR="001E3C55" w:rsidRDefault="001E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55" w:rsidRDefault="001E3C55">
      <w:r>
        <w:separator/>
      </w:r>
    </w:p>
  </w:footnote>
  <w:footnote w:type="continuationSeparator" w:id="0">
    <w:p w:rsidR="001E3C55" w:rsidRDefault="001E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78144C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55"/>
    <w:rsid w:val="00055758"/>
    <w:rsid w:val="00074F17"/>
    <w:rsid w:val="000A1146"/>
    <w:rsid w:val="000A6C43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D22AF"/>
    <w:rsid w:val="001E3C55"/>
    <w:rsid w:val="001F7237"/>
    <w:rsid w:val="00270DC1"/>
    <w:rsid w:val="002924CB"/>
    <w:rsid w:val="00297CC9"/>
    <w:rsid w:val="002A20D1"/>
    <w:rsid w:val="002A4DE3"/>
    <w:rsid w:val="002B5955"/>
    <w:rsid w:val="0030686C"/>
    <w:rsid w:val="00380937"/>
    <w:rsid w:val="00397717"/>
    <w:rsid w:val="003D7B0B"/>
    <w:rsid w:val="003F0FAA"/>
    <w:rsid w:val="0044102E"/>
    <w:rsid w:val="00460778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078F4"/>
    <w:rsid w:val="00622CC7"/>
    <w:rsid w:val="00646C06"/>
    <w:rsid w:val="00675E6D"/>
    <w:rsid w:val="006771A3"/>
    <w:rsid w:val="006A406B"/>
    <w:rsid w:val="006B6D50"/>
    <w:rsid w:val="006D10A0"/>
    <w:rsid w:val="006E0575"/>
    <w:rsid w:val="0072799A"/>
    <w:rsid w:val="00754659"/>
    <w:rsid w:val="0078144C"/>
    <w:rsid w:val="007E3B79"/>
    <w:rsid w:val="008066EE"/>
    <w:rsid w:val="00817BB6"/>
    <w:rsid w:val="00824B81"/>
    <w:rsid w:val="00884D6C"/>
    <w:rsid w:val="00920F00"/>
    <w:rsid w:val="009373F6"/>
    <w:rsid w:val="0096448C"/>
    <w:rsid w:val="00976588"/>
    <w:rsid w:val="00997016"/>
    <w:rsid w:val="009B65DF"/>
    <w:rsid w:val="00A27CA7"/>
    <w:rsid w:val="00A31E57"/>
    <w:rsid w:val="00A45B30"/>
    <w:rsid w:val="00A56BFB"/>
    <w:rsid w:val="00A71D0A"/>
    <w:rsid w:val="00A77F1E"/>
    <w:rsid w:val="00A847C4"/>
    <w:rsid w:val="00AB389D"/>
    <w:rsid w:val="00AE7B02"/>
    <w:rsid w:val="00AF0DEA"/>
    <w:rsid w:val="00AF25E0"/>
    <w:rsid w:val="00B04290"/>
    <w:rsid w:val="00B80DEF"/>
    <w:rsid w:val="00B86BB5"/>
    <w:rsid w:val="00B91903"/>
    <w:rsid w:val="00B934BD"/>
    <w:rsid w:val="00BC4669"/>
    <w:rsid w:val="00C16EF1"/>
    <w:rsid w:val="00C448D3"/>
    <w:rsid w:val="00C57214"/>
    <w:rsid w:val="00C71B5B"/>
    <w:rsid w:val="00CB3157"/>
    <w:rsid w:val="00CF62E5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E90CE5"/>
    <w:rsid w:val="00E94172"/>
    <w:rsid w:val="00F27657"/>
    <w:rsid w:val="00F27A82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3E59E-ACBD-497D-9BF3-9915A711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Default">
    <w:name w:val="Default"/>
    <w:rsid w:val="001E3C55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Bachmeier, Lisa</dc:creator>
  <cp:lastModifiedBy>Baumann, Gerhard</cp:lastModifiedBy>
  <cp:revision>16</cp:revision>
  <cp:lastPrinted>2021-10-05T08:21:00Z</cp:lastPrinted>
  <dcterms:created xsi:type="dcterms:W3CDTF">2021-01-14T11:31:00Z</dcterms:created>
  <dcterms:modified xsi:type="dcterms:W3CDTF">2021-10-05T08:21:00Z</dcterms:modified>
</cp:coreProperties>
</file>