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90093" w14:textId="00D889A5" w:rsidR="00E377CC" w:rsidRPr="006E0575" w:rsidRDefault="004510EE" w:rsidP="00E377CC">
      <w:pPr>
        <w:jc w:val="right"/>
      </w:pPr>
      <w:r>
        <w:t xml:space="preserve"> </w:t>
      </w:r>
      <w:r w:rsidR="00E377CC" w:rsidRPr="006E0575">
        <w:t xml:space="preserve">Anlage </w:t>
      </w:r>
      <w:r w:rsidR="00580D94">
        <w:t>12</w:t>
      </w:r>
      <w:r w:rsidR="00E377CC" w:rsidRPr="006E0575">
        <w:t xml:space="preserve"> zur GRDrs </w:t>
      </w:r>
      <w:r w:rsidR="00580D94">
        <w:t>705</w:t>
      </w:r>
      <w:r w:rsidR="00E377CC">
        <w:t>/2021</w:t>
      </w:r>
    </w:p>
    <w:p w14:paraId="5DD7CAC3" w14:textId="77777777" w:rsidR="00AF409B" w:rsidRDefault="00AF409B" w:rsidP="00AF409B"/>
    <w:p w14:paraId="3A8A7FFE" w14:textId="77777777" w:rsidR="00AF409B" w:rsidRDefault="00AF409B" w:rsidP="00AF409B">
      <w:pPr>
        <w:jc w:val="center"/>
        <w:outlineLvl w:val="0"/>
        <w:rPr>
          <w:b/>
          <w:sz w:val="36"/>
          <w:szCs w:val="24"/>
          <w:u w:val="single"/>
        </w:rPr>
      </w:pPr>
    </w:p>
    <w:p w14:paraId="6E5D155A" w14:textId="58B1F4D0" w:rsidR="00AF409B" w:rsidRPr="00621F79" w:rsidRDefault="006B78B4" w:rsidP="00AF409B">
      <w:pPr>
        <w:jc w:val="center"/>
        <w:outlineLvl w:val="0"/>
        <w:rPr>
          <w:b/>
          <w:sz w:val="36"/>
          <w:szCs w:val="24"/>
          <w:u w:val="single"/>
        </w:rPr>
      </w:pPr>
      <w:r>
        <w:rPr>
          <w:b/>
          <w:sz w:val="36"/>
          <w:szCs w:val="24"/>
          <w:u w:val="single"/>
        </w:rPr>
        <w:t>Verlängerung</w:t>
      </w:r>
      <w:r w:rsidR="00724E17" w:rsidRPr="00621F79">
        <w:rPr>
          <w:b/>
          <w:sz w:val="36"/>
          <w:szCs w:val="24"/>
          <w:u w:val="single"/>
        </w:rPr>
        <w:t xml:space="preserve"> </w:t>
      </w:r>
      <w:r w:rsidR="00AF409B" w:rsidRPr="00621F79">
        <w:rPr>
          <w:b/>
          <w:sz w:val="36"/>
          <w:szCs w:val="24"/>
          <w:u w:val="single"/>
        </w:rPr>
        <w:t>von Stelle</w:t>
      </w:r>
      <w:r w:rsidR="00AF409B">
        <w:rPr>
          <w:b/>
          <w:sz w:val="36"/>
          <w:szCs w:val="24"/>
          <w:u w:val="single"/>
        </w:rPr>
        <w:t>nvermerken</w:t>
      </w:r>
      <w:r w:rsidR="00AF409B">
        <w:rPr>
          <w:b/>
          <w:sz w:val="36"/>
          <w:szCs w:val="24"/>
          <w:u w:val="single"/>
        </w:rPr>
        <w:br/>
        <w:t xml:space="preserve">zum Stellenplan </w:t>
      </w:r>
      <w:r w:rsidR="00724E17">
        <w:rPr>
          <w:b/>
          <w:sz w:val="36"/>
          <w:szCs w:val="24"/>
          <w:u w:val="single"/>
        </w:rPr>
        <w:t>2022</w:t>
      </w:r>
    </w:p>
    <w:p w14:paraId="040914FC" w14:textId="77777777" w:rsidR="00AF409B" w:rsidRPr="00621F79" w:rsidRDefault="00AF409B" w:rsidP="00AF409B">
      <w:pPr>
        <w:rPr>
          <w:szCs w:val="24"/>
        </w:rPr>
      </w:pPr>
    </w:p>
    <w:p w14:paraId="6B76C19D" w14:textId="77777777" w:rsidR="00AF409B" w:rsidRPr="00621F79" w:rsidRDefault="00AF409B" w:rsidP="00AF409B">
      <w:pPr>
        <w:rPr>
          <w:szCs w:val="24"/>
        </w:rPr>
      </w:pPr>
    </w:p>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AF409B" w:rsidRPr="00621F79" w14:paraId="2401D3F0" w14:textId="77777777" w:rsidTr="00101F6C">
        <w:trPr>
          <w:tblHeader/>
        </w:trPr>
        <w:tc>
          <w:tcPr>
            <w:tcW w:w="1814" w:type="dxa"/>
            <w:shd w:val="pct12" w:color="auto" w:fill="FFFFFF"/>
          </w:tcPr>
          <w:p w14:paraId="45EE9B79" w14:textId="77777777" w:rsidR="00AF409B" w:rsidRPr="00621F79" w:rsidRDefault="00AF409B" w:rsidP="00101F6C">
            <w:pPr>
              <w:spacing w:before="120" w:after="120" w:line="200" w:lineRule="exact"/>
              <w:ind w:right="-85"/>
              <w:rPr>
                <w:sz w:val="16"/>
                <w:szCs w:val="16"/>
              </w:rPr>
            </w:pPr>
            <w:r w:rsidRPr="00621F79">
              <w:rPr>
                <w:sz w:val="16"/>
                <w:szCs w:val="16"/>
              </w:rPr>
              <w:t>Stellennummer,</w:t>
            </w:r>
          </w:p>
          <w:p w14:paraId="6DCF391C" w14:textId="77777777" w:rsidR="00AF409B" w:rsidRPr="00621F79" w:rsidRDefault="00AF409B" w:rsidP="00101F6C">
            <w:pPr>
              <w:spacing w:before="120" w:after="120" w:line="200" w:lineRule="exact"/>
              <w:ind w:right="-85"/>
              <w:rPr>
                <w:sz w:val="16"/>
                <w:szCs w:val="16"/>
              </w:rPr>
            </w:pPr>
            <w:r w:rsidRPr="00621F79">
              <w:rPr>
                <w:sz w:val="16"/>
                <w:szCs w:val="16"/>
              </w:rPr>
              <w:t>Kostenstelle</w:t>
            </w:r>
          </w:p>
        </w:tc>
        <w:tc>
          <w:tcPr>
            <w:tcW w:w="1701" w:type="dxa"/>
            <w:shd w:val="pct12" w:color="auto" w:fill="FFFFFF"/>
          </w:tcPr>
          <w:p w14:paraId="41CEE44D" w14:textId="77777777" w:rsidR="00AF409B" w:rsidRPr="00621F79" w:rsidRDefault="00AF409B" w:rsidP="00101F6C">
            <w:pPr>
              <w:spacing w:before="120" w:after="120" w:line="200" w:lineRule="exact"/>
              <w:ind w:right="-85"/>
              <w:rPr>
                <w:sz w:val="16"/>
                <w:szCs w:val="16"/>
              </w:rPr>
            </w:pPr>
            <w:r w:rsidRPr="00621F79">
              <w:rPr>
                <w:sz w:val="16"/>
                <w:szCs w:val="16"/>
              </w:rPr>
              <w:t>Amt</w:t>
            </w:r>
          </w:p>
        </w:tc>
        <w:tc>
          <w:tcPr>
            <w:tcW w:w="794" w:type="dxa"/>
            <w:shd w:val="pct12" w:color="auto" w:fill="FFFFFF"/>
          </w:tcPr>
          <w:p w14:paraId="39194500" w14:textId="77777777" w:rsidR="00AF409B" w:rsidRPr="00621F79" w:rsidRDefault="00AF409B" w:rsidP="00101F6C">
            <w:pPr>
              <w:spacing w:before="120" w:after="120" w:line="200" w:lineRule="exact"/>
              <w:ind w:right="-85"/>
              <w:rPr>
                <w:sz w:val="16"/>
                <w:szCs w:val="16"/>
              </w:rPr>
            </w:pPr>
            <w:r w:rsidRPr="00621F79">
              <w:rPr>
                <w:sz w:val="16"/>
                <w:szCs w:val="16"/>
              </w:rPr>
              <w:t>BesGr.</w:t>
            </w:r>
          </w:p>
          <w:p w14:paraId="1978E17A" w14:textId="77777777" w:rsidR="00AF409B" w:rsidRPr="00621F79" w:rsidRDefault="00AF409B" w:rsidP="00101F6C">
            <w:pPr>
              <w:spacing w:before="120" w:after="120" w:line="200" w:lineRule="exact"/>
              <w:ind w:right="-85"/>
              <w:rPr>
                <w:sz w:val="16"/>
                <w:szCs w:val="16"/>
              </w:rPr>
            </w:pPr>
            <w:r w:rsidRPr="00621F79">
              <w:rPr>
                <w:sz w:val="16"/>
                <w:szCs w:val="16"/>
              </w:rPr>
              <w:t>oder</w:t>
            </w:r>
          </w:p>
          <w:p w14:paraId="4D6EBBF1" w14:textId="77777777" w:rsidR="00AF409B" w:rsidRPr="00621F79" w:rsidRDefault="00AF409B" w:rsidP="00101F6C">
            <w:pPr>
              <w:spacing w:before="120" w:after="120" w:line="200" w:lineRule="exact"/>
              <w:ind w:right="-85"/>
              <w:rPr>
                <w:sz w:val="16"/>
                <w:szCs w:val="16"/>
              </w:rPr>
            </w:pPr>
            <w:r w:rsidRPr="00621F79">
              <w:rPr>
                <w:sz w:val="16"/>
                <w:szCs w:val="16"/>
              </w:rPr>
              <w:t>EG</w:t>
            </w:r>
          </w:p>
        </w:tc>
        <w:tc>
          <w:tcPr>
            <w:tcW w:w="1928" w:type="dxa"/>
            <w:shd w:val="pct12" w:color="auto" w:fill="FFFFFF"/>
          </w:tcPr>
          <w:p w14:paraId="2C2CF65A" w14:textId="77777777" w:rsidR="00AF409B" w:rsidRPr="00621F79" w:rsidRDefault="00AF409B" w:rsidP="00101F6C">
            <w:pPr>
              <w:spacing w:before="120" w:after="120" w:line="200" w:lineRule="exact"/>
              <w:ind w:right="-85"/>
              <w:rPr>
                <w:sz w:val="16"/>
                <w:szCs w:val="16"/>
              </w:rPr>
            </w:pPr>
            <w:r w:rsidRPr="00621F79">
              <w:rPr>
                <w:sz w:val="16"/>
                <w:szCs w:val="16"/>
              </w:rPr>
              <w:t>Funktions-</w:t>
            </w:r>
            <w:r w:rsidRPr="00621F79">
              <w:rPr>
                <w:sz w:val="16"/>
                <w:szCs w:val="16"/>
              </w:rPr>
              <w:br/>
              <w:t>bezeichnung</w:t>
            </w:r>
          </w:p>
        </w:tc>
        <w:tc>
          <w:tcPr>
            <w:tcW w:w="737" w:type="dxa"/>
            <w:shd w:val="pct12" w:color="auto" w:fill="FFFFFF"/>
          </w:tcPr>
          <w:p w14:paraId="53F3A074" w14:textId="77777777" w:rsidR="00AF409B" w:rsidRPr="00621F79" w:rsidRDefault="00AF409B" w:rsidP="00101F6C">
            <w:pPr>
              <w:spacing w:before="120" w:after="120" w:line="200" w:lineRule="exact"/>
              <w:ind w:right="-85"/>
              <w:rPr>
                <w:sz w:val="16"/>
                <w:szCs w:val="16"/>
              </w:rPr>
            </w:pPr>
            <w:r w:rsidRPr="00621F79">
              <w:rPr>
                <w:sz w:val="16"/>
                <w:szCs w:val="16"/>
              </w:rPr>
              <w:t>Anzahl</w:t>
            </w:r>
            <w:r w:rsidRPr="00621F79">
              <w:rPr>
                <w:sz w:val="16"/>
                <w:szCs w:val="16"/>
              </w:rPr>
              <w:br/>
              <w:t>der</w:t>
            </w:r>
            <w:r w:rsidRPr="00621F79">
              <w:rPr>
                <w:sz w:val="16"/>
                <w:szCs w:val="16"/>
              </w:rPr>
              <w:br/>
              <w:t>Stellen</w:t>
            </w:r>
          </w:p>
        </w:tc>
        <w:tc>
          <w:tcPr>
            <w:tcW w:w="1134" w:type="dxa"/>
            <w:shd w:val="pct12" w:color="auto" w:fill="FFFFFF"/>
          </w:tcPr>
          <w:p w14:paraId="0A5399DF" w14:textId="77777777" w:rsidR="00AF409B" w:rsidRDefault="00AF409B" w:rsidP="00101F6C">
            <w:pPr>
              <w:spacing w:before="120" w:after="120" w:line="200" w:lineRule="exact"/>
              <w:ind w:right="-85"/>
              <w:rPr>
                <w:sz w:val="16"/>
                <w:szCs w:val="16"/>
              </w:rPr>
            </w:pPr>
            <w:r w:rsidRPr="00621F79">
              <w:rPr>
                <w:sz w:val="16"/>
                <w:szCs w:val="16"/>
              </w:rPr>
              <w:t>Stellen-</w:t>
            </w:r>
            <w:r w:rsidRPr="00621F79">
              <w:rPr>
                <w:sz w:val="16"/>
                <w:szCs w:val="16"/>
              </w:rPr>
              <w:br/>
              <w:t>vermerk</w:t>
            </w:r>
          </w:p>
          <w:p w14:paraId="4442B164" w14:textId="6DD81B20" w:rsidR="006B78B4" w:rsidRDefault="006B78B4" w:rsidP="00101F6C">
            <w:pPr>
              <w:spacing w:before="120" w:after="120" w:line="200" w:lineRule="exact"/>
              <w:ind w:right="-85"/>
              <w:rPr>
                <w:sz w:val="16"/>
                <w:szCs w:val="16"/>
              </w:rPr>
            </w:pPr>
            <w:r>
              <w:rPr>
                <w:sz w:val="16"/>
                <w:szCs w:val="16"/>
              </w:rPr>
              <w:t>bisher</w:t>
            </w:r>
          </w:p>
          <w:p w14:paraId="445F601A" w14:textId="5D88946A" w:rsidR="006B78B4" w:rsidRPr="006B78B4" w:rsidRDefault="006B78B4" w:rsidP="00101F6C">
            <w:pPr>
              <w:spacing w:before="120" w:after="120" w:line="200" w:lineRule="exact"/>
              <w:ind w:right="-85"/>
              <w:rPr>
                <w:b/>
                <w:sz w:val="16"/>
                <w:szCs w:val="16"/>
              </w:rPr>
            </w:pPr>
            <w:r w:rsidRPr="006B78B4">
              <w:rPr>
                <w:b/>
                <w:sz w:val="16"/>
                <w:szCs w:val="16"/>
              </w:rPr>
              <w:t>neu</w:t>
            </w:r>
          </w:p>
        </w:tc>
        <w:tc>
          <w:tcPr>
            <w:tcW w:w="1417" w:type="dxa"/>
            <w:shd w:val="pct12" w:color="auto" w:fill="FFFFFF"/>
          </w:tcPr>
          <w:p w14:paraId="19F696BF" w14:textId="77777777" w:rsidR="00AF409B" w:rsidRPr="00621F79" w:rsidRDefault="00AF409B" w:rsidP="00101F6C">
            <w:pPr>
              <w:spacing w:before="120" w:after="120" w:line="200" w:lineRule="exact"/>
              <w:ind w:right="-85"/>
              <w:rPr>
                <w:sz w:val="16"/>
                <w:szCs w:val="16"/>
              </w:rPr>
            </w:pPr>
            <w:r w:rsidRPr="00621F79">
              <w:rPr>
                <w:sz w:val="16"/>
                <w:szCs w:val="16"/>
              </w:rPr>
              <w:t>durchschnittl.</w:t>
            </w:r>
            <w:r w:rsidRPr="00621F79">
              <w:rPr>
                <w:sz w:val="16"/>
                <w:szCs w:val="16"/>
              </w:rPr>
              <w:br/>
              <w:t>jährl. kosten-</w:t>
            </w:r>
            <w:r w:rsidRPr="00621F79">
              <w:rPr>
                <w:sz w:val="16"/>
                <w:szCs w:val="16"/>
              </w:rPr>
              <w:br/>
              <w:t>wirksamer</w:t>
            </w:r>
            <w:r w:rsidRPr="00621F79">
              <w:rPr>
                <w:sz w:val="16"/>
                <w:szCs w:val="16"/>
              </w:rPr>
              <w:br/>
              <w:t>Aufwand</w:t>
            </w:r>
            <w:r w:rsidRPr="00621F79">
              <w:rPr>
                <w:sz w:val="16"/>
                <w:szCs w:val="16"/>
              </w:rPr>
              <w:br/>
              <w:t>in Euro</w:t>
            </w:r>
          </w:p>
        </w:tc>
      </w:tr>
      <w:tr w:rsidR="00AF409B" w:rsidRPr="00621F79" w14:paraId="3743F6F6" w14:textId="77777777" w:rsidTr="00101F6C">
        <w:tc>
          <w:tcPr>
            <w:tcW w:w="1814" w:type="dxa"/>
          </w:tcPr>
          <w:p w14:paraId="752C5AA7" w14:textId="4D9C17B4" w:rsidR="00AF409B" w:rsidRPr="00621F79" w:rsidRDefault="00AF409B" w:rsidP="00101F6C">
            <w:pPr>
              <w:rPr>
                <w:sz w:val="20"/>
                <w:szCs w:val="24"/>
              </w:rPr>
            </w:pPr>
          </w:p>
          <w:p w14:paraId="419EA8E9" w14:textId="2B5F60D0" w:rsidR="00AF409B" w:rsidRDefault="00AF409B" w:rsidP="00101F6C">
            <w:pPr>
              <w:rPr>
                <w:sz w:val="20"/>
                <w:szCs w:val="24"/>
              </w:rPr>
            </w:pPr>
            <w:r w:rsidRPr="00621F79">
              <w:rPr>
                <w:sz w:val="20"/>
                <w:szCs w:val="24"/>
              </w:rPr>
              <w:t>290</w:t>
            </w:r>
            <w:r w:rsidR="00294F6F">
              <w:rPr>
                <w:sz w:val="20"/>
                <w:szCs w:val="24"/>
              </w:rPr>
              <w:t>.0200.</w:t>
            </w:r>
            <w:r w:rsidRPr="00621F79">
              <w:rPr>
                <w:sz w:val="20"/>
                <w:szCs w:val="24"/>
              </w:rPr>
              <w:t>300</w:t>
            </w:r>
          </w:p>
          <w:p w14:paraId="49E0E7EC" w14:textId="77777777" w:rsidR="00580D94" w:rsidRPr="00621F79" w:rsidRDefault="00580D94" w:rsidP="00101F6C">
            <w:pPr>
              <w:rPr>
                <w:sz w:val="20"/>
                <w:szCs w:val="24"/>
              </w:rPr>
            </w:pPr>
          </w:p>
          <w:p w14:paraId="12C0FBFF" w14:textId="251803AF" w:rsidR="00AF409B" w:rsidRPr="00621F79" w:rsidRDefault="00294F6F" w:rsidP="00101F6C">
            <w:pPr>
              <w:rPr>
                <w:sz w:val="20"/>
                <w:szCs w:val="24"/>
              </w:rPr>
            </w:pPr>
            <w:r>
              <w:rPr>
                <w:sz w:val="20"/>
                <w:szCs w:val="24"/>
              </w:rPr>
              <w:t>290.</w:t>
            </w:r>
            <w:r w:rsidR="00AF409B" w:rsidRPr="00621F79">
              <w:rPr>
                <w:sz w:val="20"/>
                <w:szCs w:val="24"/>
              </w:rPr>
              <w:t>0200</w:t>
            </w:r>
            <w:r>
              <w:rPr>
                <w:sz w:val="20"/>
                <w:szCs w:val="24"/>
              </w:rPr>
              <w:t>.</w:t>
            </w:r>
            <w:r w:rsidR="00AF409B" w:rsidRPr="00621F79">
              <w:rPr>
                <w:sz w:val="20"/>
                <w:szCs w:val="24"/>
              </w:rPr>
              <w:t>310</w:t>
            </w:r>
          </w:p>
          <w:p w14:paraId="109028B3" w14:textId="77777777" w:rsidR="00AF409B" w:rsidRPr="00621F79" w:rsidRDefault="00AF409B" w:rsidP="00101F6C">
            <w:pPr>
              <w:rPr>
                <w:sz w:val="20"/>
                <w:szCs w:val="24"/>
              </w:rPr>
            </w:pPr>
          </w:p>
          <w:p w14:paraId="05762450" w14:textId="25521117" w:rsidR="00AF409B" w:rsidRPr="00621F79" w:rsidRDefault="00AF409B" w:rsidP="00101F6C">
            <w:pPr>
              <w:rPr>
                <w:sz w:val="20"/>
              </w:rPr>
            </w:pPr>
            <w:r w:rsidRPr="00621F79">
              <w:rPr>
                <w:sz w:val="20"/>
              </w:rPr>
              <w:t>2910</w:t>
            </w:r>
            <w:r w:rsidR="00294F6F">
              <w:rPr>
                <w:sz w:val="20"/>
              </w:rPr>
              <w:t xml:space="preserve"> </w:t>
            </w:r>
            <w:r w:rsidRPr="00621F79">
              <w:rPr>
                <w:sz w:val="20"/>
              </w:rPr>
              <w:t>1020</w:t>
            </w:r>
          </w:p>
          <w:p w14:paraId="205BB6E7" w14:textId="77777777" w:rsidR="00AF409B" w:rsidRPr="00621F79" w:rsidRDefault="00AF409B" w:rsidP="00101F6C">
            <w:pPr>
              <w:rPr>
                <w:sz w:val="20"/>
                <w:szCs w:val="24"/>
              </w:rPr>
            </w:pPr>
          </w:p>
          <w:p w14:paraId="79848B57" w14:textId="77777777" w:rsidR="00AF409B" w:rsidRPr="00621F79" w:rsidRDefault="00AF409B" w:rsidP="00101F6C">
            <w:pPr>
              <w:rPr>
                <w:sz w:val="20"/>
                <w:szCs w:val="24"/>
              </w:rPr>
            </w:pPr>
          </w:p>
        </w:tc>
        <w:tc>
          <w:tcPr>
            <w:tcW w:w="1701" w:type="dxa"/>
          </w:tcPr>
          <w:p w14:paraId="6CE2771F" w14:textId="77777777" w:rsidR="00AF409B" w:rsidRPr="00621F79" w:rsidRDefault="00AF409B" w:rsidP="00101F6C">
            <w:pPr>
              <w:rPr>
                <w:sz w:val="20"/>
                <w:szCs w:val="24"/>
              </w:rPr>
            </w:pPr>
          </w:p>
          <w:p w14:paraId="4700DD77" w14:textId="586661E4" w:rsidR="00AF409B" w:rsidRPr="00621F79" w:rsidRDefault="00AF409B" w:rsidP="00101F6C">
            <w:pPr>
              <w:rPr>
                <w:sz w:val="20"/>
                <w:szCs w:val="24"/>
              </w:rPr>
            </w:pPr>
            <w:r w:rsidRPr="00621F79">
              <w:rPr>
                <w:sz w:val="20"/>
                <w:szCs w:val="24"/>
              </w:rPr>
              <w:t>Jobcenter</w:t>
            </w:r>
          </w:p>
        </w:tc>
        <w:tc>
          <w:tcPr>
            <w:tcW w:w="794" w:type="dxa"/>
          </w:tcPr>
          <w:p w14:paraId="073D0C27" w14:textId="77777777" w:rsidR="00AF409B" w:rsidRPr="00621F79" w:rsidRDefault="00AF409B" w:rsidP="00101F6C">
            <w:pPr>
              <w:rPr>
                <w:sz w:val="20"/>
                <w:szCs w:val="24"/>
              </w:rPr>
            </w:pPr>
          </w:p>
          <w:p w14:paraId="0A9D8B46" w14:textId="77777777" w:rsidR="00AF409B" w:rsidRDefault="00AF409B" w:rsidP="00101F6C">
            <w:pPr>
              <w:rPr>
                <w:sz w:val="20"/>
                <w:szCs w:val="24"/>
              </w:rPr>
            </w:pPr>
            <w:r w:rsidRPr="00621F79">
              <w:rPr>
                <w:sz w:val="20"/>
                <w:szCs w:val="24"/>
              </w:rPr>
              <w:t>EG 10</w:t>
            </w:r>
          </w:p>
          <w:p w14:paraId="58F4A736" w14:textId="77777777" w:rsidR="00580D94" w:rsidRDefault="00580D94" w:rsidP="00101F6C">
            <w:pPr>
              <w:rPr>
                <w:sz w:val="20"/>
                <w:szCs w:val="24"/>
              </w:rPr>
            </w:pPr>
          </w:p>
          <w:p w14:paraId="4C07F98D" w14:textId="2200F6B7" w:rsidR="00580D94" w:rsidRPr="00621F79" w:rsidRDefault="00580D94" w:rsidP="00101F6C">
            <w:pPr>
              <w:rPr>
                <w:sz w:val="20"/>
                <w:szCs w:val="24"/>
              </w:rPr>
            </w:pPr>
            <w:r>
              <w:rPr>
                <w:sz w:val="20"/>
                <w:szCs w:val="24"/>
              </w:rPr>
              <w:t>EG 10</w:t>
            </w:r>
          </w:p>
        </w:tc>
        <w:tc>
          <w:tcPr>
            <w:tcW w:w="1928" w:type="dxa"/>
          </w:tcPr>
          <w:p w14:paraId="68FD77B4" w14:textId="77777777" w:rsidR="00AF409B" w:rsidRPr="00621F79" w:rsidRDefault="00AF409B" w:rsidP="00101F6C">
            <w:pPr>
              <w:rPr>
                <w:sz w:val="20"/>
                <w:szCs w:val="24"/>
              </w:rPr>
            </w:pPr>
          </w:p>
          <w:p w14:paraId="62FCAC4C" w14:textId="77777777" w:rsidR="00AF409B" w:rsidRDefault="007570AE" w:rsidP="00580D94">
            <w:pPr>
              <w:rPr>
                <w:sz w:val="20"/>
                <w:szCs w:val="24"/>
              </w:rPr>
            </w:pPr>
            <w:r>
              <w:rPr>
                <w:sz w:val="20"/>
                <w:szCs w:val="24"/>
              </w:rPr>
              <w:t>Sachbearbeiter</w:t>
            </w:r>
            <w:r w:rsidR="00294F6F">
              <w:rPr>
                <w:sz w:val="20"/>
                <w:szCs w:val="24"/>
              </w:rPr>
              <w:t>/-</w:t>
            </w:r>
            <w:r w:rsidR="00AF409B" w:rsidRPr="00621F79">
              <w:rPr>
                <w:sz w:val="20"/>
                <w:szCs w:val="24"/>
              </w:rPr>
              <w:t xml:space="preserve">in </w:t>
            </w:r>
          </w:p>
          <w:p w14:paraId="126ADDA4" w14:textId="77777777" w:rsidR="00580D94" w:rsidRDefault="00580D94" w:rsidP="00580D94">
            <w:pPr>
              <w:rPr>
                <w:sz w:val="20"/>
                <w:szCs w:val="24"/>
              </w:rPr>
            </w:pPr>
          </w:p>
          <w:p w14:paraId="5EE61A4B" w14:textId="22745448" w:rsidR="00580D94" w:rsidRPr="00621F79" w:rsidRDefault="00580D94" w:rsidP="00580D94">
            <w:pPr>
              <w:rPr>
                <w:sz w:val="20"/>
                <w:szCs w:val="24"/>
              </w:rPr>
            </w:pPr>
            <w:r>
              <w:rPr>
                <w:sz w:val="20"/>
                <w:szCs w:val="24"/>
              </w:rPr>
              <w:t xml:space="preserve">Sachbearbeiter/-in </w:t>
            </w:r>
            <w:bookmarkStart w:id="0" w:name="_GoBack"/>
            <w:bookmarkEnd w:id="0"/>
          </w:p>
        </w:tc>
        <w:tc>
          <w:tcPr>
            <w:tcW w:w="737" w:type="dxa"/>
            <w:shd w:val="pct12" w:color="auto" w:fill="FFFFFF"/>
          </w:tcPr>
          <w:p w14:paraId="3C8B8A49" w14:textId="77777777" w:rsidR="00AF409B" w:rsidRPr="00621F79" w:rsidRDefault="00AF409B" w:rsidP="00101F6C">
            <w:pPr>
              <w:rPr>
                <w:sz w:val="20"/>
                <w:szCs w:val="24"/>
              </w:rPr>
            </w:pPr>
          </w:p>
          <w:p w14:paraId="6F886C2B" w14:textId="77777777" w:rsidR="00AF409B" w:rsidRDefault="00294F6F" w:rsidP="00101F6C">
            <w:pPr>
              <w:rPr>
                <w:sz w:val="20"/>
                <w:szCs w:val="24"/>
              </w:rPr>
            </w:pPr>
            <w:r>
              <w:rPr>
                <w:sz w:val="20"/>
                <w:szCs w:val="24"/>
              </w:rPr>
              <w:t>1,00</w:t>
            </w:r>
          </w:p>
          <w:p w14:paraId="542E2DBD" w14:textId="77777777" w:rsidR="00580D94" w:rsidRDefault="00580D94" w:rsidP="00101F6C">
            <w:pPr>
              <w:rPr>
                <w:sz w:val="20"/>
                <w:szCs w:val="24"/>
              </w:rPr>
            </w:pPr>
          </w:p>
          <w:p w14:paraId="5044E098" w14:textId="2512878F" w:rsidR="00294F6F" w:rsidRPr="00621F79" w:rsidRDefault="00294F6F" w:rsidP="00101F6C">
            <w:pPr>
              <w:rPr>
                <w:sz w:val="20"/>
                <w:szCs w:val="24"/>
              </w:rPr>
            </w:pPr>
            <w:r>
              <w:rPr>
                <w:sz w:val="20"/>
                <w:szCs w:val="24"/>
              </w:rPr>
              <w:t>0,50</w:t>
            </w:r>
          </w:p>
        </w:tc>
        <w:tc>
          <w:tcPr>
            <w:tcW w:w="1134" w:type="dxa"/>
          </w:tcPr>
          <w:p w14:paraId="7D690B65" w14:textId="77777777" w:rsidR="00AF409B" w:rsidRPr="00621F79" w:rsidRDefault="00AF409B" w:rsidP="00101F6C">
            <w:pPr>
              <w:rPr>
                <w:sz w:val="20"/>
                <w:szCs w:val="24"/>
              </w:rPr>
            </w:pPr>
          </w:p>
          <w:p w14:paraId="41E71C46" w14:textId="5FE60CAD" w:rsidR="00AF409B" w:rsidRPr="00621F79" w:rsidRDefault="006B78B4" w:rsidP="00101F6C">
            <w:pPr>
              <w:rPr>
                <w:rFonts w:cs="Arial"/>
                <w:sz w:val="20"/>
              </w:rPr>
            </w:pPr>
            <w:r>
              <w:rPr>
                <w:rFonts w:cs="Arial"/>
                <w:sz w:val="20"/>
              </w:rPr>
              <w:t>K</w:t>
            </w:r>
            <w:r w:rsidR="00356BAC">
              <w:rPr>
                <w:rFonts w:cs="Arial"/>
                <w:sz w:val="20"/>
              </w:rPr>
              <w:t>W 01/2022</w:t>
            </w:r>
          </w:p>
          <w:p w14:paraId="5A348990" w14:textId="77777777" w:rsidR="00AF409B" w:rsidRPr="00621F79" w:rsidRDefault="00AF409B" w:rsidP="00101F6C">
            <w:pPr>
              <w:rPr>
                <w:rFonts w:cs="Arial"/>
                <w:sz w:val="20"/>
              </w:rPr>
            </w:pPr>
          </w:p>
          <w:p w14:paraId="13D4D365" w14:textId="77777777" w:rsidR="006B78B4" w:rsidRPr="006B78B4" w:rsidRDefault="006239EA" w:rsidP="00101F6C">
            <w:pPr>
              <w:rPr>
                <w:rFonts w:cs="Arial"/>
                <w:b/>
                <w:sz w:val="20"/>
              </w:rPr>
            </w:pPr>
            <w:r w:rsidRPr="006B78B4">
              <w:rPr>
                <w:rFonts w:cs="Arial"/>
                <w:b/>
                <w:sz w:val="20"/>
              </w:rPr>
              <w:t>KW</w:t>
            </w:r>
          </w:p>
          <w:p w14:paraId="668F4DDD" w14:textId="0F68020F" w:rsidR="00AF409B" w:rsidRPr="006B78B4" w:rsidRDefault="006B78B4" w:rsidP="00101F6C">
            <w:pPr>
              <w:rPr>
                <w:rFonts w:cs="Arial"/>
                <w:b/>
                <w:sz w:val="20"/>
              </w:rPr>
            </w:pPr>
            <w:r w:rsidRPr="006B78B4">
              <w:rPr>
                <w:rFonts w:cs="Arial"/>
                <w:b/>
                <w:sz w:val="20"/>
              </w:rPr>
              <w:t>01/2024</w:t>
            </w:r>
          </w:p>
          <w:p w14:paraId="22AB04FB" w14:textId="77777777" w:rsidR="00FE364D" w:rsidRPr="00621F79" w:rsidRDefault="00FE364D" w:rsidP="00101F6C">
            <w:pPr>
              <w:rPr>
                <w:sz w:val="20"/>
                <w:szCs w:val="24"/>
              </w:rPr>
            </w:pPr>
          </w:p>
        </w:tc>
        <w:tc>
          <w:tcPr>
            <w:tcW w:w="1417" w:type="dxa"/>
          </w:tcPr>
          <w:p w14:paraId="15EAE807" w14:textId="77777777" w:rsidR="00AF409B" w:rsidRPr="00621F79" w:rsidRDefault="00AF409B" w:rsidP="00101F6C">
            <w:pPr>
              <w:rPr>
                <w:sz w:val="20"/>
                <w:szCs w:val="24"/>
              </w:rPr>
            </w:pPr>
          </w:p>
          <w:p w14:paraId="6FD41C06" w14:textId="00D36BF3" w:rsidR="00AF409B" w:rsidRPr="00621F79" w:rsidRDefault="00AF409B" w:rsidP="00101F6C">
            <w:pPr>
              <w:rPr>
                <w:sz w:val="20"/>
                <w:szCs w:val="24"/>
              </w:rPr>
            </w:pPr>
            <w:r w:rsidRPr="00621F79">
              <w:rPr>
                <w:sz w:val="20"/>
                <w:szCs w:val="24"/>
              </w:rPr>
              <w:t>*)</w:t>
            </w:r>
          </w:p>
        </w:tc>
      </w:tr>
    </w:tbl>
    <w:p w14:paraId="4565FAAE" w14:textId="5FAAAE7F" w:rsidR="00AF409B" w:rsidRPr="00621F79" w:rsidRDefault="007570AE" w:rsidP="00AF409B">
      <w:pPr>
        <w:rPr>
          <w:rFonts w:cs="Arial"/>
          <w:sz w:val="16"/>
          <w:szCs w:val="16"/>
        </w:rPr>
      </w:pPr>
      <w:r>
        <w:rPr>
          <w:rFonts w:cs="Arial"/>
          <w:sz w:val="16"/>
          <w:szCs w:val="16"/>
        </w:rPr>
        <w:t>.</w:t>
      </w:r>
    </w:p>
    <w:p w14:paraId="744ED1B4" w14:textId="0D669C05" w:rsidR="00AF409B" w:rsidRPr="00621F79" w:rsidRDefault="00AF409B" w:rsidP="00AF409B">
      <w:pPr>
        <w:rPr>
          <w:szCs w:val="24"/>
        </w:rPr>
      </w:pPr>
      <w:r w:rsidRPr="00621F79">
        <w:rPr>
          <w:rFonts w:cs="Arial"/>
          <w:sz w:val="16"/>
          <w:szCs w:val="16"/>
        </w:rPr>
        <w:t xml:space="preserve">*) </w:t>
      </w:r>
      <w:r w:rsidR="004410E6">
        <w:rPr>
          <w:rFonts w:cs="Arial"/>
          <w:sz w:val="16"/>
          <w:szCs w:val="16"/>
        </w:rPr>
        <w:t>Nach der</w:t>
      </w:r>
      <w:r w:rsidR="004410E6" w:rsidRPr="00621F79">
        <w:rPr>
          <w:rFonts w:cs="Arial"/>
          <w:sz w:val="16"/>
          <w:szCs w:val="16"/>
        </w:rPr>
        <w:t xml:space="preserve"> </w:t>
      </w:r>
      <w:r w:rsidRPr="00621F79">
        <w:rPr>
          <w:rFonts w:cs="Arial"/>
          <w:sz w:val="16"/>
          <w:szCs w:val="16"/>
        </w:rPr>
        <w:t>Kommunalträger-Abrechnungsverwaltungsvorschrift (</w:t>
      </w:r>
      <w:proofErr w:type="spellStart"/>
      <w:r w:rsidRPr="00621F79">
        <w:rPr>
          <w:rFonts w:cs="Arial"/>
          <w:sz w:val="16"/>
          <w:szCs w:val="16"/>
        </w:rPr>
        <w:t>KoA</w:t>
      </w:r>
      <w:proofErr w:type="spellEnd"/>
      <w:r w:rsidRPr="00621F79">
        <w:rPr>
          <w:rFonts w:cs="Arial"/>
          <w:sz w:val="16"/>
          <w:szCs w:val="16"/>
        </w:rPr>
        <w:t>-VV) erfolgt die Abrechnung der Personalkosten operativer Stellen mit dem Bund spitz, für die Personalneben-, Sach- und Gemeinkosten werden Pauschalen zugrunde gelegt. Der Anteil des Bundes an den Kosten beträgt 84,8 Prozent, der kommunale Finanzierungsanteil (KFA) beträgt 15,2 Prozent. Inklusive aller Pauschalen übersteigt die Erstattung des Bundes den kostenwirksamen Aufwand, der bei der LHS für die operative(n) Stelle(n) entsteht.</w:t>
      </w:r>
    </w:p>
    <w:p w14:paraId="0ECFE732" w14:textId="77777777" w:rsidR="00AF409B" w:rsidRPr="00621F79" w:rsidRDefault="00AF409B" w:rsidP="00AF409B">
      <w:pPr>
        <w:rPr>
          <w:szCs w:val="24"/>
        </w:rPr>
      </w:pPr>
    </w:p>
    <w:p w14:paraId="58E525EE" w14:textId="77777777" w:rsidR="00AF409B" w:rsidRPr="00DC4C59" w:rsidRDefault="00AF409B" w:rsidP="00AF409B">
      <w:pPr>
        <w:outlineLvl w:val="1"/>
        <w:rPr>
          <w:b/>
          <w:szCs w:val="24"/>
          <w:u w:val="single"/>
        </w:rPr>
      </w:pPr>
      <w:r w:rsidRPr="00DC4C59">
        <w:rPr>
          <w:b/>
          <w:szCs w:val="24"/>
          <w:u w:val="single"/>
        </w:rPr>
        <w:t>Be</w:t>
      </w:r>
      <w:r w:rsidRPr="00DC4C59">
        <w:rPr>
          <w:b/>
          <w:szCs w:val="24"/>
        </w:rPr>
        <w:t>g</w:t>
      </w:r>
      <w:r w:rsidRPr="00DC4C59">
        <w:rPr>
          <w:b/>
          <w:szCs w:val="24"/>
          <w:u w:val="single"/>
        </w:rPr>
        <w:t>ründun</w:t>
      </w:r>
      <w:r w:rsidRPr="00DC4C59">
        <w:rPr>
          <w:b/>
          <w:szCs w:val="24"/>
        </w:rPr>
        <w:t>g</w:t>
      </w:r>
      <w:r w:rsidRPr="00DC4C59">
        <w:rPr>
          <w:b/>
          <w:szCs w:val="24"/>
          <w:u w:val="single"/>
        </w:rPr>
        <w:t>:</w:t>
      </w:r>
    </w:p>
    <w:p w14:paraId="69ED0136" w14:textId="77777777" w:rsidR="00AF409B" w:rsidRPr="00DC4C59" w:rsidRDefault="00AF409B" w:rsidP="00AF409B">
      <w:pPr>
        <w:rPr>
          <w:szCs w:val="24"/>
        </w:rPr>
      </w:pPr>
    </w:p>
    <w:p w14:paraId="44546815" w14:textId="46E90929" w:rsidR="00AF409B" w:rsidRPr="00DC4C59" w:rsidRDefault="00AF409B" w:rsidP="00AF409B">
      <w:pPr>
        <w:rPr>
          <w:szCs w:val="24"/>
        </w:rPr>
      </w:pPr>
      <w:r w:rsidRPr="00DC4C59">
        <w:rPr>
          <w:szCs w:val="24"/>
        </w:rPr>
        <w:t xml:space="preserve">Im Kontext </w:t>
      </w:r>
      <w:r w:rsidR="004510EE">
        <w:rPr>
          <w:szCs w:val="24"/>
        </w:rPr>
        <w:t xml:space="preserve">der Flüchtlingswelle und </w:t>
      </w:r>
      <w:r w:rsidRPr="00DC4C59">
        <w:rPr>
          <w:szCs w:val="24"/>
        </w:rPr>
        <w:t xml:space="preserve">steigender Flüchtlingszahlen </w:t>
      </w:r>
      <w:r w:rsidR="0032461C">
        <w:rPr>
          <w:szCs w:val="24"/>
        </w:rPr>
        <w:t xml:space="preserve">im Rechtskreis SGB II </w:t>
      </w:r>
      <w:r w:rsidRPr="00DC4C59">
        <w:rPr>
          <w:szCs w:val="24"/>
        </w:rPr>
        <w:t>wurden mit dem Geschäftsplan 2016 des Jobcenters (GRDrs. 1209/2015, Anlage 10) 1,50 Stellen,</w:t>
      </w:r>
      <w:r w:rsidR="00C15398">
        <w:rPr>
          <w:szCs w:val="24"/>
        </w:rPr>
        <w:t xml:space="preserve"> TVöD EG 10,</w:t>
      </w:r>
      <w:r w:rsidRPr="00DC4C59">
        <w:rPr>
          <w:szCs w:val="24"/>
        </w:rPr>
        <w:t xml:space="preserve"> zunächst befristet bis 31.12.2017, für die Sachbearbeitung im Sachgebiet Nachrang in der Abteilung Grundsatz und Recht geschaffen. Die Stellen wurden zuletzt zum Stellenplan </w:t>
      </w:r>
      <w:r w:rsidR="00724E17" w:rsidRPr="00DC4C59">
        <w:rPr>
          <w:szCs w:val="24"/>
        </w:rPr>
        <w:t>20</w:t>
      </w:r>
      <w:r w:rsidR="001849AF" w:rsidRPr="00DC4C59">
        <w:rPr>
          <w:szCs w:val="24"/>
        </w:rPr>
        <w:t>2</w:t>
      </w:r>
      <w:r w:rsidR="00724E17" w:rsidRPr="00DC4C59">
        <w:rPr>
          <w:szCs w:val="24"/>
        </w:rPr>
        <w:t xml:space="preserve">0 </w:t>
      </w:r>
      <w:r w:rsidRPr="00DC4C59">
        <w:rPr>
          <w:szCs w:val="24"/>
        </w:rPr>
        <w:t xml:space="preserve">(GRDrs. </w:t>
      </w:r>
      <w:r w:rsidR="00724E17" w:rsidRPr="00DC4C59">
        <w:rPr>
          <w:szCs w:val="24"/>
        </w:rPr>
        <w:t>987</w:t>
      </w:r>
      <w:r w:rsidRPr="00DC4C59">
        <w:rPr>
          <w:szCs w:val="24"/>
        </w:rPr>
        <w:t>/</w:t>
      </w:r>
      <w:r w:rsidR="00724E17" w:rsidRPr="00DC4C59">
        <w:rPr>
          <w:szCs w:val="24"/>
        </w:rPr>
        <w:t>2019</w:t>
      </w:r>
      <w:r w:rsidRPr="00DC4C59">
        <w:rPr>
          <w:szCs w:val="24"/>
        </w:rPr>
        <w:t xml:space="preserve">, Anlage </w:t>
      </w:r>
      <w:r w:rsidR="00724E17" w:rsidRPr="00DC4C59">
        <w:rPr>
          <w:szCs w:val="24"/>
        </w:rPr>
        <w:t>7</w:t>
      </w:r>
      <w:r w:rsidRPr="00DC4C59">
        <w:rPr>
          <w:szCs w:val="24"/>
        </w:rPr>
        <w:t>) bis 01/</w:t>
      </w:r>
      <w:r w:rsidR="00724E17" w:rsidRPr="00DC4C59">
        <w:rPr>
          <w:szCs w:val="24"/>
        </w:rPr>
        <w:t xml:space="preserve">2022 </w:t>
      </w:r>
      <w:r w:rsidRPr="00DC4C59">
        <w:rPr>
          <w:szCs w:val="24"/>
        </w:rPr>
        <w:t>verlängert.</w:t>
      </w:r>
    </w:p>
    <w:p w14:paraId="7529C3F2" w14:textId="77777777" w:rsidR="00AF409B" w:rsidRPr="00DC4C59" w:rsidRDefault="00AF409B" w:rsidP="00AF409B">
      <w:pPr>
        <w:jc w:val="both"/>
        <w:rPr>
          <w:rFonts w:cs="Arial"/>
          <w:szCs w:val="24"/>
        </w:rPr>
      </w:pPr>
    </w:p>
    <w:p w14:paraId="28566336" w14:textId="4EE44934" w:rsidR="006B78B4" w:rsidRPr="00621F79" w:rsidRDefault="00AF409B" w:rsidP="006B78B4">
      <w:pPr>
        <w:jc w:val="both"/>
        <w:rPr>
          <w:rFonts w:cs="Arial"/>
          <w:szCs w:val="24"/>
        </w:rPr>
      </w:pPr>
      <w:r w:rsidRPr="00DC4C59">
        <w:rPr>
          <w:rFonts w:cs="Arial"/>
          <w:szCs w:val="24"/>
        </w:rPr>
        <w:t xml:space="preserve">Für den Doppelhaushalt </w:t>
      </w:r>
      <w:r w:rsidR="00724E17" w:rsidRPr="00DC4C59">
        <w:rPr>
          <w:rFonts w:cs="Arial"/>
          <w:szCs w:val="24"/>
        </w:rPr>
        <w:t>2022</w:t>
      </w:r>
      <w:r w:rsidRPr="00DC4C59">
        <w:rPr>
          <w:rFonts w:cs="Arial"/>
          <w:szCs w:val="24"/>
        </w:rPr>
        <w:t>/</w:t>
      </w:r>
      <w:r w:rsidR="00724E17" w:rsidRPr="00DC4C59">
        <w:rPr>
          <w:rFonts w:cs="Arial"/>
          <w:szCs w:val="24"/>
        </w:rPr>
        <w:t xml:space="preserve">2023 </w:t>
      </w:r>
      <w:r w:rsidRPr="00DC4C59">
        <w:rPr>
          <w:rFonts w:cs="Arial"/>
          <w:szCs w:val="24"/>
        </w:rPr>
        <w:t xml:space="preserve">werden </w:t>
      </w:r>
      <w:r w:rsidR="00724E17" w:rsidRPr="00DC4C59">
        <w:rPr>
          <w:rFonts w:cs="Arial"/>
          <w:szCs w:val="24"/>
        </w:rPr>
        <w:t>sowohl</w:t>
      </w:r>
      <w:r w:rsidR="00EC6A16" w:rsidRPr="00DC4C59">
        <w:rPr>
          <w:rFonts w:cs="Arial"/>
          <w:szCs w:val="24"/>
        </w:rPr>
        <w:t xml:space="preserve"> </w:t>
      </w:r>
      <w:r w:rsidRPr="00DC4C59">
        <w:rPr>
          <w:rFonts w:cs="Arial"/>
          <w:szCs w:val="24"/>
        </w:rPr>
        <w:t>konstante Flüchtlingszahlen prognostiziert</w:t>
      </w:r>
      <w:r w:rsidR="00724E17" w:rsidRPr="00DC4C59">
        <w:rPr>
          <w:rFonts w:cs="Arial"/>
          <w:szCs w:val="24"/>
        </w:rPr>
        <w:t xml:space="preserve"> als auch mit </w:t>
      </w:r>
      <w:r w:rsidR="00BE145E" w:rsidRPr="00DC4C59">
        <w:rPr>
          <w:rFonts w:cs="Arial"/>
          <w:szCs w:val="24"/>
        </w:rPr>
        <w:t xml:space="preserve">weiter </w:t>
      </w:r>
      <w:r w:rsidR="00724E17" w:rsidRPr="00DC4C59">
        <w:rPr>
          <w:rFonts w:cs="Arial"/>
          <w:szCs w:val="24"/>
        </w:rPr>
        <w:t xml:space="preserve">steigenden </w:t>
      </w:r>
      <w:r w:rsidR="00BE145E" w:rsidRPr="00DC4C59">
        <w:rPr>
          <w:rFonts w:cs="Arial"/>
          <w:szCs w:val="24"/>
        </w:rPr>
        <w:t>Fallz</w:t>
      </w:r>
      <w:r w:rsidR="00724E17" w:rsidRPr="00DC4C59">
        <w:rPr>
          <w:rFonts w:cs="Arial"/>
          <w:szCs w:val="24"/>
        </w:rPr>
        <w:t xml:space="preserve">ahlen als Auswirkung der </w:t>
      </w:r>
      <w:r w:rsidR="007570AE" w:rsidRPr="00DC4C59">
        <w:rPr>
          <w:rFonts w:cs="Arial"/>
          <w:szCs w:val="24"/>
        </w:rPr>
        <w:t>COVID 19</w:t>
      </w:r>
      <w:r w:rsidR="00724E17" w:rsidRPr="00DC4C59">
        <w:rPr>
          <w:rFonts w:cs="Arial"/>
          <w:szCs w:val="24"/>
        </w:rPr>
        <w:t>-Pandemie gerechnet</w:t>
      </w:r>
      <w:r w:rsidRPr="00DC4C59">
        <w:rPr>
          <w:rFonts w:cs="Arial"/>
          <w:szCs w:val="24"/>
        </w:rPr>
        <w:t xml:space="preserve">. </w:t>
      </w:r>
      <w:r w:rsidR="006B78B4" w:rsidRPr="00621F79">
        <w:rPr>
          <w:rFonts w:cs="Arial"/>
          <w:szCs w:val="24"/>
        </w:rPr>
        <w:t>Somit werden die Stellen zur Aufgabenerledigung auch weiterhin benötigt. Deshalb wird die Verlängerung des kw</w:t>
      </w:r>
      <w:r w:rsidR="006B78B4">
        <w:rPr>
          <w:rFonts w:cs="Arial"/>
          <w:szCs w:val="24"/>
        </w:rPr>
        <w:t>-Vermerks um 2 Jahre (kw 01/2024</w:t>
      </w:r>
      <w:r w:rsidR="006B78B4" w:rsidRPr="00621F79">
        <w:rPr>
          <w:rFonts w:cs="Arial"/>
          <w:szCs w:val="24"/>
        </w:rPr>
        <w:t>) beantragt. Die Besetzung der Stellen erfolgt unbefristet.</w:t>
      </w:r>
    </w:p>
    <w:p w14:paraId="30BC0749" w14:textId="77777777" w:rsidR="00422C3F" w:rsidRDefault="00422C3F" w:rsidP="00DC4C59">
      <w:pPr>
        <w:rPr>
          <w:rFonts w:cs="Arial"/>
          <w:szCs w:val="24"/>
        </w:rPr>
      </w:pPr>
    </w:p>
    <w:p w14:paraId="10FB5B5D" w14:textId="4FB88CDA" w:rsidR="0032461C" w:rsidRDefault="00AF409B" w:rsidP="00AC2C0D">
      <w:pPr>
        <w:rPr>
          <w:szCs w:val="24"/>
        </w:rPr>
      </w:pPr>
      <w:r w:rsidRPr="00DC4C59">
        <w:rPr>
          <w:szCs w:val="24"/>
        </w:rPr>
        <w:t>Die Sicherheit in der Rechtsanwendung ist entscheidend für eine rechtmäßige und zügige Gewährung von Leistung</w:t>
      </w:r>
      <w:r w:rsidR="00AC2C0D" w:rsidRPr="00DC4C59">
        <w:rPr>
          <w:szCs w:val="24"/>
        </w:rPr>
        <w:t>en</w:t>
      </w:r>
      <w:r w:rsidRPr="00DC4C59">
        <w:rPr>
          <w:szCs w:val="24"/>
        </w:rPr>
        <w:t xml:space="preserve"> im Rechtskreis SGB II. Der Bereich der Leistungsansprüche ausländischer Personen ist durch die Anzahl der verschiedenen Aufenthaltstitel sehr komplex. Es gibt rd. 80 verschiedene Aufenthaltstitel. Der Leistungsanspruch orientiert sich am jeweiligen Titel und muss für jede Person individuell geprüft und entschieden werden. In einer Vielzahl von Fällen wird das Sachgebiet Nachrang im Rahmen der Einzelfallentscheidung </w:t>
      </w:r>
      <w:r w:rsidR="004410E6">
        <w:rPr>
          <w:szCs w:val="24"/>
        </w:rPr>
        <w:t xml:space="preserve">als Fachberatung </w:t>
      </w:r>
      <w:r w:rsidRPr="00DC4C59">
        <w:rPr>
          <w:szCs w:val="24"/>
        </w:rPr>
        <w:t>hinzugezogen und prüft, ob ein Leistungsanspruch besteht.</w:t>
      </w:r>
      <w:r w:rsidR="006B78B4">
        <w:rPr>
          <w:szCs w:val="24"/>
        </w:rPr>
        <w:t xml:space="preserve"> D</w:t>
      </w:r>
      <w:r w:rsidR="00294F6F">
        <w:rPr>
          <w:szCs w:val="24"/>
        </w:rPr>
        <w:t>ie Mitarbeiter/-</w:t>
      </w:r>
      <w:r w:rsidR="00DA319F" w:rsidRPr="00DC4C59">
        <w:rPr>
          <w:szCs w:val="24"/>
        </w:rPr>
        <w:t>innen des</w:t>
      </w:r>
      <w:r w:rsidR="00AC2C0D" w:rsidRPr="00DC4C59">
        <w:rPr>
          <w:szCs w:val="24"/>
        </w:rPr>
        <w:t xml:space="preserve"> S</w:t>
      </w:r>
      <w:r w:rsidR="00DA319F" w:rsidRPr="00DC4C59">
        <w:rPr>
          <w:szCs w:val="24"/>
        </w:rPr>
        <w:t>a</w:t>
      </w:r>
      <w:r w:rsidR="00AC2C0D" w:rsidRPr="00DC4C59">
        <w:rPr>
          <w:szCs w:val="24"/>
        </w:rPr>
        <w:t>chgebiet</w:t>
      </w:r>
      <w:r w:rsidR="00DA319F" w:rsidRPr="00DC4C59">
        <w:rPr>
          <w:szCs w:val="24"/>
        </w:rPr>
        <w:t>s</w:t>
      </w:r>
      <w:r w:rsidR="00AC2C0D" w:rsidRPr="00DC4C59">
        <w:rPr>
          <w:szCs w:val="24"/>
        </w:rPr>
        <w:t xml:space="preserve"> Nachrang </w:t>
      </w:r>
      <w:r w:rsidR="006B78B4">
        <w:rPr>
          <w:szCs w:val="24"/>
        </w:rPr>
        <w:t xml:space="preserve">stehen </w:t>
      </w:r>
      <w:r w:rsidR="00AC2C0D" w:rsidRPr="00DC4C59">
        <w:rPr>
          <w:szCs w:val="24"/>
        </w:rPr>
        <w:t>für alle Leistungsgewährer</w:t>
      </w:r>
      <w:r w:rsidR="00294F6F">
        <w:rPr>
          <w:szCs w:val="24"/>
        </w:rPr>
        <w:t>/-</w:t>
      </w:r>
      <w:r w:rsidR="00C110D7" w:rsidRPr="00DC4C59">
        <w:rPr>
          <w:szCs w:val="24"/>
        </w:rPr>
        <w:t xml:space="preserve">innen </w:t>
      </w:r>
      <w:r w:rsidR="00BE145E" w:rsidRPr="00DC4C59">
        <w:rPr>
          <w:szCs w:val="24"/>
        </w:rPr>
        <w:t xml:space="preserve">der 16 Zweig- und </w:t>
      </w:r>
      <w:r w:rsidR="00097EFD">
        <w:rPr>
          <w:szCs w:val="24"/>
        </w:rPr>
        <w:t>Fachstellen</w:t>
      </w:r>
      <w:r w:rsidR="00097EFD" w:rsidRPr="00DC4C59">
        <w:rPr>
          <w:szCs w:val="24"/>
        </w:rPr>
        <w:t xml:space="preserve"> </w:t>
      </w:r>
      <w:r w:rsidR="00422C3F">
        <w:rPr>
          <w:szCs w:val="24"/>
        </w:rPr>
        <w:t xml:space="preserve">sowie der Abteilung Migration und Teilhabe </w:t>
      </w:r>
      <w:r w:rsidR="004410E6">
        <w:rPr>
          <w:szCs w:val="24"/>
        </w:rPr>
        <w:t xml:space="preserve">im Rahmen der Fachberatung </w:t>
      </w:r>
      <w:r w:rsidR="00C110D7" w:rsidRPr="00DC4C59">
        <w:rPr>
          <w:szCs w:val="24"/>
        </w:rPr>
        <w:t xml:space="preserve">als unmittelbare </w:t>
      </w:r>
      <w:r w:rsidR="00DA319F" w:rsidRPr="00DC4C59">
        <w:rPr>
          <w:szCs w:val="24"/>
        </w:rPr>
        <w:t>Ansprechpersonen für fachliche Fragen</w:t>
      </w:r>
      <w:r w:rsidR="00AC2C0D" w:rsidRPr="00DC4C59">
        <w:rPr>
          <w:szCs w:val="24"/>
        </w:rPr>
        <w:t xml:space="preserve"> </w:t>
      </w:r>
      <w:r w:rsidR="00BE145E" w:rsidRPr="00DC4C59">
        <w:rPr>
          <w:szCs w:val="24"/>
        </w:rPr>
        <w:t xml:space="preserve">und schwierige Einzelfallklärungen </w:t>
      </w:r>
      <w:r w:rsidR="00C110D7" w:rsidRPr="00DC4C59">
        <w:rPr>
          <w:szCs w:val="24"/>
        </w:rPr>
        <w:t>zur Verfügung</w:t>
      </w:r>
      <w:r w:rsidR="00AC2C0D" w:rsidRPr="00DC4C59">
        <w:rPr>
          <w:szCs w:val="24"/>
        </w:rPr>
        <w:t xml:space="preserve">. </w:t>
      </w:r>
      <w:r w:rsidR="00422C3F">
        <w:rPr>
          <w:szCs w:val="24"/>
        </w:rPr>
        <w:t xml:space="preserve">Dadurch wird eine fallorientiertere Unterstützung gewährleistet. </w:t>
      </w:r>
    </w:p>
    <w:sectPr w:rsidR="0032461C" w:rsidSect="006B78B4">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09B"/>
    <w:rsid w:val="00042E75"/>
    <w:rsid w:val="00060731"/>
    <w:rsid w:val="00097EFD"/>
    <w:rsid w:val="001849AF"/>
    <w:rsid w:val="00294F6F"/>
    <w:rsid w:val="002E78E5"/>
    <w:rsid w:val="0032461C"/>
    <w:rsid w:val="00350048"/>
    <w:rsid w:val="00356BAC"/>
    <w:rsid w:val="00422C3F"/>
    <w:rsid w:val="004410E6"/>
    <w:rsid w:val="004510EE"/>
    <w:rsid w:val="004D1B1B"/>
    <w:rsid w:val="004E2307"/>
    <w:rsid w:val="00580D94"/>
    <w:rsid w:val="005D2DB8"/>
    <w:rsid w:val="006239EA"/>
    <w:rsid w:val="006A2E2D"/>
    <w:rsid w:val="006B78B4"/>
    <w:rsid w:val="00724E17"/>
    <w:rsid w:val="007570AE"/>
    <w:rsid w:val="00900415"/>
    <w:rsid w:val="00AC2C0D"/>
    <w:rsid w:val="00AF409B"/>
    <w:rsid w:val="00BE145E"/>
    <w:rsid w:val="00C05C16"/>
    <w:rsid w:val="00C110D7"/>
    <w:rsid w:val="00C15398"/>
    <w:rsid w:val="00DA319F"/>
    <w:rsid w:val="00DC4C59"/>
    <w:rsid w:val="00E377CC"/>
    <w:rsid w:val="00E83F42"/>
    <w:rsid w:val="00E87809"/>
    <w:rsid w:val="00EA522D"/>
    <w:rsid w:val="00EC6A16"/>
    <w:rsid w:val="00FE36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02FFA"/>
  <w15:chartTrackingRefBased/>
  <w15:docId w15:val="{E803724C-9BCD-4FE4-B21F-3B28D729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409B"/>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570AE"/>
    <w:rPr>
      <w:sz w:val="16"/>
      <w:szCs w:val="16"/>
    </w:rPr>
  </w:style>
  <w:style w:type="paragraph" w:styleId="Kommentartext">
    <w:name w:val="annotation text"/>
    <w:basedOn w:val="Standard"/>
    <w:link w:val="KommentartextZchn"/>
    <w:uiPriority w:val="99"/>
    <w:semiHidden/>
    <w:unhideWhenUsed/>
    <w:rsid w:val="007570AE"/>
    <w:rPr>
      <w:sz w:val="20"/>
    </w:rPr>
  </w:style>
  <w:style w:type="character" w:customStyle="1" w:styleId="KommentartextZchn">
    <w:name w:val="Kommentartext Zchn"/>
    <w:basedOn w:val="Absatz-Standardschriftart"/>
    <w:link w:val="Kommentartext"/>
    <w:uiPriority w:val="99"/>
    <w:semiHidden/>
    <w:rsid w:val="007570AE"/>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570AE"/>
    <w:rPr>
      <w:b/>
      <w:bCs/>
    </w:rPr>
  </w:style>
  <w:style w:type="character" w:customStyle="1" w:styleId="KommentarthemaZchn">
    <w:name w:val="Kommentarthema Zchn"/>
    <w:basedOn w:val="KommentartextZchn"/>
    <w:link w:val="Kommentarthema"/>
    <w:uiPriority w:val="99"/>
    <w:semiHidden/>
    <w:rsid w:val="007570AE"/>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7570A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70AE"/>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2333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Landeshauptstadt Stuttgart</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Kopf, Thomas</dc:creator>
  <cp:keywords/>
  <dc:description/>
  <cp:lastModifiedBy>Baumann, Gerhard</cp:lastModifiedBy>
  <cp:revision>5</cp:revision>
  <cp:lastPrinted>2020-12-30T15:27:00Z</cp:lastPrinted>
  <dcterms:created xsi:type="dcterms:W3CDTF">2021-01-27T15:43:00Z</dcterms:created>
  <dcterms:modified xsi:type="dcterms:W3CDTF">2021-09-29T13:58:00Z</dcterms:modified>
</cp:coreProperties>
</file>