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01B0B">
        <w:rPr>
          <w:szCs w:val="24"/>
        </w:rPr>
        <w:t>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01B0B">
        <w:rPr>
          <w:szCs w:val="24"/>
        </w:rPr>
        <w:t>883</w:t>
      </w:r>
      <w:r w:rsidR="005F5B3D">
        <w:rPr>
          <w:szCs w:val="24"/>
        </w:rPr>
        <w:t>/20</w:t>
      </w:r>
      <w:r w:rsidR="0037578F">
        <w:rPr>
          <w:szCs w:val="24"/>
        </w:rPr>
        <w:t>19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7578F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F902CF" w:rsidP="006E0575">
            <w:pPr>
              <w:rPr>
                <w:sz w:val="20"/>
              </w:rPr>
            </w:pPr>
            <w:r>
              <w:rPr>
                <w:sz w:val="20"/>
              </w:rPr>
              <w:t>L/OB-K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AD05FA" w:rsidP="006E0575">
            <w:pPr>
              <w:rPr>
                <w:sz w:val="20"/>
              </w:rPr>
            </w:pPr>
            <w:r>
              <w:rPr>
                <w:sz w:val="20"/>
              </w:rPr>
              <w:t>800150</w:t>
            </w:r>
            <w:r w:rsidR="00B1461B">
              <w:rPr>
                <w:sz w:val="20"/>
              </w:rPr>
              <w:t>30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80093" w:rsidRDefault="00980093" w:rsidP="004359F7">
            <w:pPr>
              <w:rPr>
                <w:noProof/>
                <w:sz w:val="20"/>
              </w:rPr>
            </w:pPr>
          </w:p>
          <w:p w:rsidR="00980093" w:rsidRDefault="00980093" w:rsidP="004359F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Bürgermeister-amt</w:t>
            </w:r>
          </w:p>
          <w:p w:rsidR="00980093" w:rsidRDefault="00980093" w:rsidP="004359F7">
            <w:pPr>
              <w:rPr>
                <w:noProof/>
                <w:sz w:val="20"/>
              </w:rPr>
            </w:pPr>
          </w:p>
          <w:p w:rsidR="005F5B3D" w:rsidRPr="00D00514" w:rsidRDefault="00980093" w:rsidP="00980093">
            <w:pPr>
              <w:rPr>
                <w:sz w:val="20"/>
              </w:rPr>
            </w:pPr>
            <w:r>
              <w:rPr>
                <w:noProof/>
                <w:sz w:val="20"/>
              </w:rPr>
              <w:t>Referat L/OB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8F738A" w:rsidP="009B5EDE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9B5EDE">
              <w:rPr>
                <w:sz w:val="20"/>
              </w:rPr>
              <w:t>4</w:t>
            </w:r>
          </w:p>
        </w:tc>
        <w:tc>
          <w:tcPr>
            <w:tcW w:w="1928" w:type="dxa"/>
          </w:tcPr>
          <w:p w:rsidR="00980093" w:rsidRDefault="00980093" w:rsidP="004B3AA4">
            <w:pPr>
              <w:rPr>
                <w:sz w:val="20"/>
              </w:rPr>
            </w:pPr>
          </w:p>
          <w:p w:rsidR="005F5B3D" w:rsidRPr="006E0575" w:rsidRDefault="00E1543C" w:rsidP="004B3AA4">
            <w:pPr>
              <w:rPr>
                <w:sz w:val="20"/>
              </w:rPr>
            </w:pPr>
            <w:r w:rsidRPr="00E1543C">
              <w:rPr>
                <w:sz w:val="20"/>
              </w:rPr>
              <w:t>Ausstellungsbetreuer</w:t>
            </w:r>
            <w:r w:rsidR="00E01B0B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F902CF" w:rsidP="00FD1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E01B0B" w:rsidP="008A685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E01B0B" w:rsidP="00E01B0B">
            <w:pPr>
              <w:jc w:val="right"/>
              <w:rPr>
                <w:sz w:val="20"/>
              </w:rPr>
            </w:pPr>
            <w:r>
              <w:rPr>
                <w:sz w:val="20"/>
              </w:rPr>
              <w:t>(45.900)</w:t>
            </w:r>
          </w:p>
          <w:p w:rsidR="00E01B0B" w:rsidRPr="006E0575" w:rsidRDefault="00E01B0B" w:rsidP="00E01B0B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F738A" w:rsidRPr="004A607C" w:rsidRDefault="008F738A" w:rsidP="008F738A">
      <w:pPr>
        <w:rPr>
          <w:szCs w:val="24"/>
        </w:rPr>
      </w:pPr>
      <w:r w:rsidRPr="00791FBF">
        <w:rPr>
          <w:szCs w:val="24"/>
        </w:rPr>
        <w:t xml:space="preserve">Beantragt wird die </w:t>
      </w:r>
      <w:r w:rsidR="00B77E0B">
        <w:rPr>
          <w:szCs w:val="24"/>
        </w:rPr>
        <w:t xml:space="preserve">haushaltsneutrale </w:t>
      </w:r>
      <w:r w:rsidRPr="00791FBF">
        <w:rPr>
          <w:szCs w:val="24"/>
        </w:rPr>
        <w:t xml:space="preserve">Schaffung einer </w:t>
      </w:r>
      <w:r w:rsidR="0002113E">
        <w:rPr>
          <w:szCs w:val="24"/>
        </w:rPr>
        <w:t xml:space="preserve">1,0 </w:t>
      </w:r>
      <w:r w:rsidRPr="00791FBF">
        <w:rPr>
          <w:szCs w:val="24"/>
        </w:rPr>
        <w:t xml:space="preserve">Stelle </w:t>
      </w:r>
      <w:r w:rsidR="00980093">
        <w:rPr>
          <w:szCs w:val="24"/>
        </w:rPr>
        <w:t xml:space="preserve">für die Abteilung Kommunikation (L/OB-K) </w:t>
      </w:r>
      <w:r w:rsidRPr="00791FBF">
        <w:rPr>
          <w:szCs w:val="24"/>
        </w:rPr>
        <w:t xml:space="preserve">für </w:t>
      </w:r>
      <w:r w:rsidR="00033C8D">
        <w:rPr>
          <w:szCs w:val="24"/>
        </w:rPr>
        <w:t>d</w:t>
      </w:r>
      <w:r w:rsidR="00E1543C">
        <w:rPr>
          <w:szCs w:val="24"/>
        </w:rPr>
        <w:t>ie Aufsicht und Betreuung der städtischen Ausstellungs- und Informationsangebote für di</w:t>
      </w:r>
      <w:r w:rsidR="009B5EDE">
        <w:rPr>
          <w:szCs w:val="24"/>
        </w:rPr>
        <w:t xml:space="preserve">e Entwicklungsfläche Rosenstein im Rathaus, in der Nordbahnhofstraße und künftig in der Eichstraße.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E01B0B" w:rsidRDefault="00B77E0B" w:rsidP="00884D6C">
      <w:r>
        <w:t>Die Stellenschaffung ist haushaltsneutral. Im Gegenzug können bei</w:t>
      </w:r>
      <w:r w:rsidR="00D02922">
        <w:t>m</w:t>
      </w:r>
      <w:r>
        <w:t xml:space="preserve"> Amt für Stadtplanung und Wohnen </w:t>
      </w:r>
      <w:r w:rsidR="00E01B0B">
        <w:t>für diesen Zweck bereitstehende</w:t>
      </w:r>
      <w:r>
        <w:t xml:space="preserve"> Sachmittel </w:t>
      </w:r>
      <w:r w:rsidR="008F43FD">
        <w:t xml:space="preserve">im Umfang von </w:t>
      </w:r>
    </w:p>
    <w:p w:rsidR="004B3AA4" w:rsidRDefault="008F43FD" w:rsidP="00884D6C">
      <w:r>
        <w:t xml:space="preserve">50.000 € </w:t>
      </w:r>
      <w:r w:rsidR="00B77E0B">
        <w:t xml:space="preserve">gekürzt werden.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AC3015" w:rsidRDefault="00960F33" w:rsidP="00960F33">
      <w:r>
        <w:t>Die Landeshauptstadt Stuttgart informiert</w:t>
      </w:r>
      <w:r w:rsidR="0021264F">
        <w:t xml:space="preserve"> aktuell</w:t>
      </w:r>
      <w:r>
        <w:t xml:space="preserve"> </w:t>
      </w:r>
      <w:r w:rsidR="00AC3015">
        <w:t>in der</w:t>
      </w:r>
      <w:r>
        <w:t xml:space="preserve"> städtebaulichen Dauerausstellung „Stuttgart unsere grüne Stadt“ und </w:t>
      </w:r>
      <w:r w:rsidR="00AC3015">
        <w:t>im „</w:t>
      </w:r>
      <w:r>
        <w:t>Gläsernen Büro</w:t>
      </w:r>
      <w:r w:rsidR="00AC3015">
        <w:t xml:space="preserve">“ Nordbahnhofstraße interessierte Bürgerinnen und Bürger über die Chancen der Stadtentwicklungsfläche Rosenstein. </w:t>
      </w:r>
    </w:p>
    <w:p w:rsidR="00AC3015" w:rsidRDefault="00AC3015" w:rsidP="00960F33"/>
    <w:p w:rsidR="00317C2B" w:rsidRDefault="0021264F" w:rsidP="00B0160D">
      <w:pPr>
        <w:rPr>
          <w:rFonts w:cs="Arial"/>
        </w:rPr>
      </w:pPr>
      <w:r>
        <w:rPr>
          <w:rFonts w:cs="Arial"/>
        </w:rPr>
        <w:t xml:space="preserve">Mit </w:t>
      </w:r>
      <w:proofErr w:type="spellStart"/>
      <w:r>
        <w:rPr>
          <w:rFonts w:cs="Arial"/>
        </w:rPr>
        <w:t>GRDrs</w:t>
      </w:r>
      <w:proofErr w:type="spellEnd"/>
      <w:r>
        <w:rPr>
          <w:rFonts w:cs="Arial"/>
        </w:rPr>
        <w:t xml:space="preserve"> 65/2017 und </w:t>
      </w:r>
      <w:proofErr w:type="spellStart"/>
      <w:r>
        <w:rPr>
          <w:rFonts w:cs="Arial"/>
        </w:rPr>
        <w:t>GRDrs</w:t>
      </w:r>
      <w:proofErr w:type="spellEnd"/>
      <w:r>
        <w:rPr>
          <w:rFonts w:cs="Arial"/>
        </w:rPr>
        <w:t xml:space="preserve"> 617/2017 wurde die Einrichtung </w:t>
      </w:r>
      <w:r w:rsidRPr="0038538B">
        <w:rPr>
          <w:rFonts w:cs="Arial"/>
        </w:rPr>
        <w:t>eines „multifunktionalen Veranstaltungs-</w:t>
      </w:r>
      <w:r>
        <w:rPr>
          <w:rFonts w:cs="Arial"/>
        </w:rPr>
        <w:t xml:space="preserve"> </w:t>
      </w:r>
      <w:r w:rsidRPr="0038538B">
        <w:rPr>
          <w:rFonts w:cs="Arial"/>
        </w:rPr>
        <w:t>und Ausstellungsraumes Rosenstein/IBA“ als dauerhafte Anlaufstelle für eine ang</w:t>
      </w:r>
      <w:r>
        <w:rPr>
          <w:rFonts w:cs="Arial"/>
        </w:rPr>
        <w:t xml:space="preserve">emessene Öffentlichkeitsarbeit </w:t>
      </w:r>
      <w:r w:rsidR="009B5EDE">
        <w:rPr>
          <w:rFonts w:cs="Arial"/>
        </w:rPr>
        <w:t xml:space="preserve">beschlossen, der in der Eichstraße eingerichtet wird. </w:t>
      </w:r>
      <w:r w:rsidR="00B0160D" w:rsidRPr="0038538B">
        <w:rPr>
          <w:rFonts w:cs="Arial"/>
        </w:rPr>
        <w:t>Die Anliegen der Bürger</w:t>
      </w:r>
      <w:r w:rsidR="00E01B0B">
        <w:rPr>
          <w:rFonts w:cs="Arial"/>
        </w:rPr>
        <w:t>/-i</w:t>
      </w:r>
      <w:r w:rsidR="00B0160D" w:rsidRPr="0038538B">
        <w:rPr>
          <w:rFonts w:cs="Arial"/>
        </w:rPr>
        <w:t>nnen vor Ort können somit aufgenommen werden und d</w:t>
      </w:r>
      <w:r w:rsidR="00D02922">
        <w:rPr>
          <w:rFonts w:cs="Arial"/>
        </w:rPr>
        <w:t xml:space="preserve">ie Öffentlichkeit kann vor Ort </w:t>
      </w:r>
      <w:bookmarkStart w:id="0" w:name="_GoBack"/>
      <w:bookmarkEnd w:id="0"/>
      <w:r w:rsidR="00B0160D" w:rsidRPr="0038538B">
        <w:rPr>
          <w:rFonts w:cs="Arial"/>
        </w:rPr>
        <w:t>verlässlich und kontinuierlich informiert werden.</w:t>
      </w:r>
      <w:r w:rsidR="00B0160D">
        <w:rPr>
          <w:rFonts w:cs="Arial"/>
        </w:rPr>
        <w:t xml:space="preserve"> </w:t>
      </w:r>
      <w:r w:rsidR="00B0160D" w:rsidRPr="0038538B">
        <w:rPr>
          <w:rFonts w:cs="Arial"/>
        </w:rPr>
        <w:t>In den Räumlichkeiten sollen sich Besucher</w:t>
      </w:r>
      <w:r w:rsidR="00E01B0B">
        <w:rPr>
          <w:rFonts w:cs="Arial"/>
        </w:rPr>
        <w:t>/-innen</w:t>
      </w:r>
      <w:r w:rsidR="00B0160D" w:rsidRPr="0038538B">
        <w:rPr>
          <w:rFonts w:cs="Arial"/>
        </w:rPr>
        <w:t xml:space="preserve"> umfassend über Planung und Entwicklung der ehemaligen Gleisflächen und der Entwicklungen zur IBA informieren sowie über den aktuellen Fortschritt der Projekte diskutieren können. U.a. soll das Stadtmodell Rosenstein im Maßstab 1:500 an diesem Ort untergebracht werden.</w:t>
      </w:r>
    </w:p>
    <w:p w:rsidR="00317C2B" w:rsidRDefault="00317C2B" w:rsidP="00960F33">
      <w:pPr>
        <w:rPr>
          <w:rFonts w:cs="Arial"/>
        </w:rPr>
      </w:pPr>
    </w:p>
    <w:p w:rsidR="0021264F" w:rsidRDefault="00317C2B" w:rsidP="00960F33">
      <w:r>
        <w:rPr>
          <w:rFonts w:cs="Arial"/>
        </w:rPr>
        <w:lastRenderedPageBreak/>
        <w:t>Öffentlich zugängliche Informationsangebote</w:t>
      </w:r>
      <w:r w:rsidR="00B0160D">
        <w:rPr>
          <w:rFonts w:cs="Arial"/>
        </w:rPr>
        <w:t xml:space="preserve"> wie das Gläserne Büro, die Dauerausstellung „Stuttgart unsere grüne Stadt“ und der geplante multifunktionale Ausstellungsraum </w:t>
      </w:r>
      <w:r>
        <w:rPr>
          <w:rFonts w:cs="Arial"/>
        </w:rPr>
        <w:t xml:space="preserve">bedürfen einer Aufsicht, um Beschädigungen und </w:t>
      </w:r>
      <w:r w:rsidR="00630774">
        <w:rPr>
          <w:rFonts w:cs="Arial"/>
        </w:rPr>
        <w:t>V</w:t>
      </w:r>
      <w:r>
        <w:rPr>
          <w:rFonts w:cs="Arial"/>
        </w:rPr>
        <w:t xml:space="preserve">andalismus auszuschließen. Für die </w:t>
      </w:r>
      <w:r w:rsidR="0021264F">
        <w:rPr>
          <w:rFonts w:cs="Arial"/>
        </w:rPr>
        <w:t xml:space="preserve">Betreuung dieser Informationsangebote </w:t>
      </w:r>
      <w:r>
        <w:rPr>
          <w:rFonts w:cs="Arial"/>
        </w:rPr>
        <w:t xml:space="preserve">und als Ansprechpartner für die Besucher </w:t>
      </w:r>
      <w:r w:rsidR="0021264F">
        <w:rPr>
          <w:rFonts w:cs="Arial"/>
        </w:rPr>
        <w:t xml:space="preserve">sind </w:t>
      </w:r>
      <w:r>
        <w:rPr>
          <w:rFonts w:cs="Arial"/>
        </w:rPr>
        <w:t xml:space="preserve">Aufsichtskräfte somit zwingend notwendig. </w:t>
      </w:r>
    </w:p>
    <w:p w:rsidR="00960F33" w:rsidRDefault="00960F33" w:rsidP="00B1461B">
      <w:pPr>
        <w:rPr>
          <w:szCs w:val="24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17C2B" w:rsidRDefault="008F738A" w:rsidP="00317C2B">
      <w:pPr>
        <w:rPr>
          <w:szCs w:val="24"/>
        </w:rPr>
      </w:pPr>
      <w:r w:rsidRPr="008F738A">
        <w:t xml:space="preserve">Die </w:t>
      </w:r>
      <w:r w:rsidR="00317C2B">
        <w:t xml:space="preserve">Aufsicht erfolgte bislang durch den Einsatz studentischer Hilfskräfte auf Honorarbasis. Die Prüfung durch die Deutsche Rentenversicherung bewertete diese Praxis als nicht zulässig. </w:t>
      </w:r>
    </w:p>
    <w:p w:rsidR="008F738A" w:rsidRDefault="008F738A" w:rsidP="00317C2B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F738A" w:rsidRPr="008F738A" w:rsidRDefault="009B5EDE" w:rsidP="008F738A">
      <w:r>
        <w:t xml:space="preserve">Die Ausstellungsflächen an den verschiedenen Standorten bleiben unbeaufsichtigt oder können nicht geöffnet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01B0B" w:rsidRDefault="00E01B0B" w:rsidP="00884D6C">
      <w:r>
        <w:t>keine</w:t>
      </w:r>
    </w:p>
    <w:sectPr w:rsidR="00E01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72" w:rsidRDefault="00243272">
      <w:r>
        <w:separator/>
      </w:r>
    </w:p>
  </w:endnote>
  <w:endnote w:type="continuationSeparator" w:id="0">
    <w:p w:rsidR="00243272" w:rsidRDefault="0024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72" w:rsidRDefault="00243272">
      <w:r>
        <w:separator/>
      </w:r>
    </w:p>
  </w:footnote>
  <w:footnote w:type="continuationSeparator" w:id="0">
    <w:p w:rsidR="00243272" w:rsidRDefault="0024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738F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738F7">
      <w:rPr>
        <w:rStyle w:val="Seitenzahl"/>
      </w:rPr>
      <w:fldChar w:fldCharType="separate"/>
    </w:r>
    <w:r w:rsidR="00D02922">
      <w:rPr>
        <w:rStyle w:val="Seitenzahl"/>
        <w:noProof/>
      </w:rPr>
      <w:t>2</w:t>
    </w:r>
    <w:r w:rsidR="00B738F7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65F3"/>
    <w:rsid w:val="0002113E"/>
    <w:rsid w:val="00022F3D"/>
    <w:rsid w:val="00033C8D"/>
    <w:rsid w:val="00060AE0"/>
    <w:rsid w:val="000A1146"/>
    <w:rsid w:val="000B1121"/>
    <w:rsid w:val="000B59E7"/>
    <w:rsid w:val="000E5896"/>
    <w:rsid w:val="0011112B"/>
    <w:rsid w:val="001275F2"/>
    <w:rsid w:val="00143A00"/>
    <w:rsid w:val="0014415D"/>
    <w:rsid w:val="00163034"/>
    <w:rsid w:val="00165C0D"/>
    <w:rsid w:val="00181857"/>
    <w:rsid w:val="00184EDC"/>
    <w:rsid w:val="00194770"/>
    <w:rsid w:val="00194E36"/>
    <w:rsid w:val="0019668B"/>
    <w:rsid w:val="001A5F9B"/>
    <w:rsid w:val="001D17AA"/>
    <w:rsid w:val="001D54CB"/>
    <w:rsid w:val="001F7237"/>
    <w:rsid w:val="0021264F"/>
    <w:rsid w:val="00243272"/>
    <w:rsid w:val="00265DAA"/>
    <w:rsid w:val="002779E3"/>
    <w:rsid w:val="002924CB"/>
    <w:rsid w:val="002A20D1"/>
    <w:rsid w:val="002B5955"/>
    <w:rsid w:val="002B5EF3"/>
    <w:rsid w:val="00317C2B"/>
    <w:rsid w:val="00341F1E"/>
    <w:rsid w:val="00367F87"/>
    <w:rsid w:val="0037578F"/>
    <w:rsid w:val="003769DC"/>
    <w:rsid w:val="00380937"/>
    <w:rsid w:val="00390559"/>
    <w:rsid w:val="003A0CA8"/>
    <w:rsid w:val="003B6603"/>
    <w:rsid w:val="003D4BC8"/>
    <w:rsid w:val="003D7B0B"/>
    <w:rsid w:val="003F3F62"/>
    <w:rsid w:val="004206F6"/>
    <w:rsid w:val="004359F7"/>
    <w:rsid w:val="00460DD3"/>
    <w:rsid w:val="00463042"/>
    <w:rsid w:val="00470135"/>
    <w:rsid w:val="0047606A"/>
    <w:rsid w:val="004908B5"/>
    <w:rsid w:val="0049121B"/>
    <w:rsid w:val="004A1688"/>
    <w:rsid w:val="004B3AA4"/>
    <w:rsid w:val="004B6796"/>
    <w:rsid w:val="004E550E"/>
    <w:rsid w:val="005006E0"/>
    <w:rsid w:val="005434DD"/>
    <w:rsid w:val="0059239F"/>
    <w:rsid w:val="005A0A9D"/>
    <w:rsid w:val="005A56AA"/>
    <w:rsid w:val="005E19C6"/>
    <w:rsid w:val="005F5B3D"/>
    <w:rsid w:val="00606F80"/>
    <w:rsid w:val="00630774"/>
    <w:rsid w:val="0065383D"/>
    <w:rsid w:val="00662565"/>
    <w:rsid w:val="00695F7A"/>
    <w:rsid w:val="006A7700"/>
    <w:rsid w:val="006B6D50"/>
    <w:rsid w:val="006E0575"/>
    <w:rsid w:val="00705364"/>
    <w:rsid w:val="007160AF"/>
    <w:rsid w:val="00750A86"/>
    <w:rsid w:val="00754659"/>
    <w:rsid w:val="007A29E4"/>
    <w:rsid w:val="007B6932"/>
    <w:rsid w:val="007E3B79"/>
    <w:rsid w:val="00805F18"/>
    <w:rsid w:val="008066EE"/>
    <w:rsid w:val="00817BB6"/>
    <w:rsid w:val="00883CBE"/>
    <w:rsid w:val="00884D6C"/>
    <w:rsid w:val="008A6853"/>
    <w:rsid w:val="008C6C9B"/>
    <w:rsid w:val="008E12A1"/>
    <w:rsid w:val="008F43FD"/>
    <w:rsid w:val="008F738A"/>
    <w:rsid w:val="00906404"/>
    <w:rsid w:val="00960F33"/>
    <w:rsid w:val="009744F8"/>
    <w:rsid w:val="00976588"/>
    <w:rsid w:val="00980093"/>
    <w:rsid w:val="009B5EDE"/>
    <w:rsid w:val="009D27F0"/>
    <w:rsid w:val="00A27CA7"/>
    <w:rsid w:val="00A71D0A"/>
    <w:rsid w:val="00A77F1E"/>
    <w:rsid w:val="00A84023"/>
    <w:rsid w:val="00AB333D"/>
    <w:rsid w:val="00AC3015"/>
    <w:rsid w:val="00AD05FA"/>
    <w:rsid w:val="00AE3D20"/>
    <w:rsid w:val="00B0160D"/>
    <w:rsid w:val="00B04290"/>
    <w:rsid w:val="00B11187"/>
    <w:rsid w:val="00B1461B"/>
    <w:rsid w:val="00B43A9B"/>
    <w:rsid w:val="00B738F7"/>
    <w:rsid w:val="00B77E0B"/>
    <w:rsid w:val="00B80DEF"/>
    <w:rsid w:val="00BC4669"/>
    <w:rsid w:val="00BC7E12"/>
    <w:rsid w:val="00BF2B95"/>
    <w:rsid w:val="00C16EF1"/>
    <w:rsid w:val="00C448D3"/>
    <w:rsid w:val="00C74043"/>
    <w:rsid w:val="00CD7CF7"/>
    <w:rsid w:val="00CF0309"/>
    <w:rsid w:val="00D00514"/>
    <w:rsid w:val="00D02922"/>
    <w:rsid w:val="00D34A23"/>
    <w:rsid w:val="00D461B9"/>
    <w:rsid w:val="00DB3D6C"/>
    <w:rsid w:val="00DB5BCF"/>
    <w:rsid w:val="00E014B6"/>
    <w:rsid w:val="00E01B0B"/>
    <w:rsid w:val="00E03BCB"/>
    <w:rsid w:val="00E1162F"/>
    <w:rsid w:val="00E11D5F"/>
    <w:rsid w:val="00E1543C"/>
    <w:rsid w:val="00E20E1F"/>
    <w:rsid w:val="00E7118F"/>
    <w:rsid w:val="00F27657"/>
    <w:rsid w:val="00F342DC"/>
    <w:rsid w:val="00F34CCE"/>
    <w:rsid w:val="00F63041"/>
    <w:rsid w:val="00F76452"/>
    <w:rsid w:val="00F875EA"/>
    <w:rsid w:val="00F902CF"/>
    <w:rsid w:val="00FB2A0E"/>
    <w:rsid w:val="00FD1E88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9C38A"/>
  <w15:docId w15:val="{BF686995-6AEF-46A4-96FA-181C1E90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206F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206F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4206F6"/>
    <w:rPr>
      <w:sz w:val="16"/>
    </w:rPr>
  </w:style>
  <w:style w:type="paragraph" w:styleId="Kommentartext">
    <w:name w:val="annotation text"/>
    <w:basedOn w:val="Standard"/>
    <w:semiHidden/>
    <w:rsid w:val="004206F6"/>
    <w:rPr>
      <w:sz w:val="20"/>
    </w:rPr>
  </w:style>
  <w:style w:type="paragraph" w:styleId="Fuzeile">
    <w:name w:val="footer"/>
    <w:basedOn w:val="Standard"/>
    <w:rsid w:val="004206F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206F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4B17449A.dotm</Template>
  <TotalTime>0</TotalTime>
  <Pages>2</Pages>
  <Words>320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8</cp:revision>
  <cp:lastPrinted>2019-09-30T13:50:00Z</cp:lastPrinted>
  <dcterms:created xsi:type="dcterms:W3CDTF">2019-09-04T08:07:00Z</dcterms:created>
  <dcterms:modified xsi:type="dcterms:W3CDTF">2019-09-30T13:51:00Z</dcterms:modified>
</cp:coreProperties>
</file>