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425A4">
        <w:t>9</w:t>
      </w:r>
      <w:r w:rsidRPr="006E0575">
        <w:t xml:space="preserve"> zur GRDrs</w:t>
      </w:r>
      <w:r w:rsidR="0088557D">
        <w:t>.</w:t>
      </w:r>
      <w:r w:rsidRPr="006E0575">
        <w:t xml:space="preserve"> </w:t>
      </w:r>
      <w:r w:rsidR="0088557D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44D68">
        <w:rPr>
          <w:b/>
          <w:sz w:val="36"/>
          <w:szCs w:val="36"/>
          <w:u w:val="single"/>
        </w:rPr>
        <w:t xml:space="preserve">4 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B970C8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970C8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A587D" w:rsidP="0030686C">
            <w:pPr>
              <w:rPr>
                <w:sz w:val="20"/>
              </w:rPr>
            </w:pPr>
            <w:r>
              <w:rPr>
                <w:sz w:val="20"/>
              </w:rPr>
              <w:t>29-4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6468C7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88557D">
              <w:rPr>
                <w:sz w:val="20"/>
              </w:rPr>
              <w:t xml:space="preserve"> </w:t>
            </w:r>
            <w:r>
              <w:rPr>
                <w:sz w:val="20"/>
              </w:rPr>
              <w:t>5170</w:t>
            </w:r>
          </w:p>
          <w:p w:rsidR="005F5B3D" w:rsidRPr="006E0575" w:rsidRDefault="005F5B3D" w:rsidP="0044418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587D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A587D" w:rsidP="000F0C24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E4147">
              <w:rPr>
                <w:sz w:val="20"/>
              </w:rPr>
              <w:t>11</w:t>
            </w: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9c</w:t>
            </w:r>
          </w:p>
          <w:p w:rsidR="0088557D" w:rsidRDefault="0088557D" w:rsidP="000F0C24">
            <w:pPr>
              <w:rPr>
                <w:sz w:val="20"/>
              </w:rPr>
            </w:pPr>
          </w:p>
          <w:p w:rsidR="003E4147" w:rsidRPr="006E0575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SGL pAp</w:t>
            </w:r>
          </w:p>
          <w:p w:rsidR="0076298E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SGL LG</w:t>
            </w:r>
          </w:p>
          <w:p w:rsidR="0076298E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pAp</w:t>
            </w:r>
          </w:p>
          <w:p w:rsidR="0076298E" w:rsidRDefault="0088557D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 -in </w:t>
            </w:r>
            <w:r w:rsidR="0076298E">
              <w:rPr>
                <w:sz w:val="20"/>
              </w:rPr>
              <w:t>LG</w:t>
            </w:r>
          </w:p>
          <w:p w:rsidR="0076298E" w:rsidRDefault="0088557D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 -in </w:t>
            </w:r>
            <w:r w:rsidR="0076298E">
              <w:rPr>
                <w:sz w:val="20"/>
              </w:rPr>
              <w:t>QI</w:t>
            </w:r>
          </w:p>
          <w:p w:rsidR="00E4132B" w:rsidRPr="006E0575" w:rsidRDefault="00E4132B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76298E" w:rsidRPr="006468C7" w:rsidRDefault="0076298E" w:rsidP="0030686C">
            <w:pPr>
              <w:rPr>
                <w:sz w:val="20"/>
              </w:rPr>
            </w:pPr>
            <w:r w:rsidRPr="006468C7">
              <w:rPr>
                <w:sz w:val="20"/>
              </w:rPr>
              <w:t>1,00</w:t>
            </w:r>
          </w:p>
          <w:p w:rsidR="0076298E" w:rsidRPr="006468C7" w:rsidRDefault="0076298E" w:rsidP="0030686C">
            <w:pPr>
              <w:rPr>
                <w:sz w:val="20"/>
              </w:rPr>
            </w:pPr>
            <w:r w:rsidRPr="006468C7">
              <w:rPr>
                <w:sz w:val="20"/>
              </w:rPr>
              <w:t>1,00</w:t>
            </w:r>
          </w:p>
          <w:p w:rsidR="005F5B3D" w:rsidRPr="006468C7" w:rsidRDefault="0076298E" w:rsidP="0076298E">
            <w:pPr>
              <w:rPr>
                <w:sz w:val="20"/>
              </w:rPr>
            </w:pPr>
            <w:r w:rsidRPr="006468C7">
              <w:rPr>
                <w:sz w:val="20"/>
              </w:rPr>
              <w:t>1</w:t>
            </w:r>
            <w:r w:rsidR="005272BC" w:rsidRPr="006468C7">
              <w:rPr>
                <w:sz w:val="20"/>
              </w:rPr>
              <w:t>5</w:t>
            </w:r>
            <w:r w:rsidRPr="006468C7">
              <w:rPr>
                <w:sz w:val="20"/>
              </w:rPr>
              <w:t>,32</w:t>
            </w:r>
          </w:p>
          <w:p w:rsidR="0076298E" w:rsidRDefault="0076298E" w:rsidP="0076298E">
            <w:pPr>
              <w:rPr>
                <w:sz w:val="20"/>
              </w:rPr>
            </w:pPr>
            <w:r w:rsidRPr="006468C7">
              <w:rPr>
                <w:sz w:val="20"/>
              </w:rPr>
              <w:t>13,80</w:t>
            </w:r>
          </w:p>
          <w:p w:rsidR="0088557D" w:rsidRPr="006468C7" w:rsidRDefault="0088557D" w:rsidP="0076298E">
            <w:pPr>
              <w:rPr>
                <w:sz w:val="20"/>
              </w:rPr>
            </w:pPr>
          </w:p>
          <w:p w:rsidR="0076298E" w:rsidRPr="006E0575" w:rsidRDefault="0076298E" w:rsidP="0076298E">
            <w:pPr>
              <w:rPr>
                <w:sz w:val="20"/>
              </w:rPr>
            </w:pPr>
            <w:r w:rsidRPr="006468C7">
              <w:rPr>
                <w:sz w:val="20"/>
              </w:rPr>
              <w:t>5,00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25A4">
              <w:rPr>
                <w:noProof/>
                <w:sz w:val="20"/>
              </w:rPr>
              <w:t> </w:t>
            </w:r>
            <w:r w:rsidR="005425A4">
              <w:rPr>
                <w:noProof/>
                <w:sz w:val="20"/>
              </w:rPr>
              <w:t> </w:t>
            </w:r>
            <w:r w:rsidR="005425A4">
              <w:rPr>
                <w:noProof/>
                <w:sz w:val="20"/>
              </w:rPr>
              <w:t> </w:t>
            </w:r>
            <w:r w:rsidR="005425A4">
              <w:rPr>
                <w:noProof/>
                <w:sz w:val="20"/>
              </w:rPr>
              <w:t> </w:t>
            </w:r>
            <w:r w:rsidR="005425A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425A4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5F5B3D" w:rsidRDefault="005425A4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bookmarkStart w:id="0" w:name="_GoBack"/>
            <w:bookmarkEnd w:id="0"/>
            <w:r w:rsidR="0088557D">
              <w:rPr>
                <w:sz w:val="20"/>
              </w:rPr>
              <w:t xml:space="preserve">80.100 </w:t>
            </w:r>
            <w:r w:rsidR="00B970C8">
              <w:rPr>
                <w:sz w:val="20"/>
              </w:rPr>
              <w:t>*)</w:t>
            </w:r>
          </w:p>
          <w:p w:rsidR="0088557D" w:rsidRDefault="0088557D" w:rsidP="0088557D">
            <w:pPr>
              <w:rPr>
                <w:sz w:val="20"/>
              </w:rPr>
            </w:pPr>
            <w:r>
              <w:rPr>
                <w:sz w:val="20"/>
              </w:rPr>
              <w:t>80.100 *)</w:t>
            </w:r>
          </w:p>
          <w:p w:rsidR="0088557D" w:rsidRDefault="0088557D" w:rsidP="0030686C">
            <w:pPr>
              <w:rPr>
                <w:sz w:val="20"/>
              </w:rPr>
            </w:pPr>
            <w:r>
              <w:rPr>
                <w:sz w:val="20"/>
              </w:rPr>
              <w:t>1.133.680 *)</w:t>
            </w:r>
          </w:p>
          <w:p w:rsidR="0088557D" w:rsidRDefault="0088557D" w:rsidP="0030686C">
            <w:pPr>
              <w:rPr>
                <w:sz w:val="20"/>
              </w:rPr>
            </w:pPr>
            <w:r>
              <w:rPr>
                <w:sz w:val="20"/>
              </w:rPr>
              <w:t>920.460 *)</w:t>
            </w:r>
          </w:p>
          <w:p w:rsidR="0088557D" w:rsidRDefault="0088557D" w:rsidP="0030686C">
            <w:pPr>
              <w:rPr>
                <w:sz w:val="20"/>
              </w:rPr>
            </w:pPr>
          </w:p>
          <w:p w:rsidR="0088557D" w:rsidRDefault="0088557D" w:rsidP="0030686C">
            <w:pPr>
              <w:rPr>
                <w:sz w:val="20"/>
              </w:rPr>
            </w:pPr>
            <w:r>
              <w:rPr>
                <w:sz w:val="20"/>
              </w:rPr>
              <w:t>267.500 *)</w:t>
            </w:r>
          </w:p>
          <w:p w:rsidR="0088557D" w:rsidRPr="006E0575" w:rsidRDefault="0088557D" w:rsidP="0030686C">
            <w:pPr>
              <w:rPr>
                <w:sz w:val="20"/>
              </w:rPr>
            </w:pPr>
          </w:p>
        </w:tc>
      </w:tr>
    </w:tbl>
    <w:p w:rsidR="00B970C8" w:rsidRDefault="00B970C8" w:rsidP="00B970C8">
      <w:pPr>
        <w:rPr>
          <w:sz w:val="16"/>
          <w:szCs w:val="16"/>
        </w:rPr>
      </w:pPr>
      <w:r>
        <w:rPr>
          <w:b/>
          <w:sz w:val="16"/>
          <w:szCs w:val="16"/>
        </w:rPr>
        <w:t>*)</w:t>
      </w:r>
      <w:r>
        <w:rPr>
          <w:rFonts w:ascii="Helv" w:hAnsi="Helv" w:cs="Helv"/>
          <w:color w:val="000000"/>
          <w:sz w:val="16"/>
          <w:szCs w:val="16"/>
        </w:rPr>
        <w:t xml:space="preserve">   </w:t>
      </w:r>
      <w:r>
        <w:rPr>
          <w:sz w:val="16"/>
          <w:szCs w:val="16"/>
        </w:rPr>
        <w:t>Gemäß Kommunalträger-Abrechnungsverwaltungsvorschrift (KoA-VV) erfolgt die Abrechnung der Personalkosten fach-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spezifischer Stellen mit dem Bund spitz, für die Personalneben-, Sach- und Gemeinkosten werden Pauschalen zugrunde gelegt.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Der Anteil   des Bundes an den Kosten beträgt 84,8 Prozent, der kommunale Finanzierungsanteil (KFA) beträgt 15,2 Prozent.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Inklusive aller Pauschalen übersteigt die Erstattung des Bundes den kostenwirksamen Aufwand, der bei der LHS für die fach-</w:t>
      </w:r>
    </w:p>
    <w:p w:rsidR="00B970C8" w:rsidRPr="00694161" w:rsidRDefault="00B970C8" w:rsidP="00B970C8">
      <w:r>
        <w:rPr>
          <w:sz w:val="16"/>
          <w:szCs w:val="16"/>
        </w:rPr>
        <w:t xml:space="preserve">      spezifische(n) Stelle(n) entsteht.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46B64" w:rsidRDefault="00F46B64" w:rsidP="00F46B64">
      <w:pPr>
        <w:rPr>
          <w:b/>
        </w:rPr>
      </w:pPr>
      <w:r>
        <w:t xml:space="preserve">Der </w:t>
      </w:r>
      <w:r w:rsidRPr="00F46B64">
        <w:t>Schaffung der o.</w:t>
      </w:r>
      <w:r w:rsidR="0088557D">
        <w:t xml:space="preserve"> </w:t>
      </w:r>
      <w:r w:rsidRPr="00F46B64">
        <w:t xml:space="preserve">g. Stellen wird im Rahmen der Ablösung von den vorhandenen Ermächtigungen zugestimmt.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46B64" w:rsidRDefault="00F46B64" w:rsidP="00F46B64">
      <w:r>
        <w:t>Das Kriterium der Haushaltsneutralität ist für die o.</w:t>
      </w:r>
      <w:r w:rsidR="0088557D">
        <w:t xml:space="preserve"> </w:t>
      </w:r>
      <w:r>
        <w:t xml:space="preserve">g. Stellen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E446D7" w:rsidRPr="00F46B64" w:rsidRDefault="00E446D7" w:rsidP="00615D6C">
      <w:pPr>
        <w:autoSpaceDE w:val="0"/>
        <w:autoSpaceDN w:val="0"/>
        <w:adjustRightInd w:val="0"/>
        <w:rPr>
          <w:rFonts w:eastAsiaTheme="minorEastAsia" w:cs="Arial"/>
        </w:rPr>
      </w:pPr>
      <w:r w:rsidRPr="003E4147">
        <w:rPr>
          <w:rFonts w:cs="Arial"/>
        </w:rPr>
        <w:t>Im Zusammenhang mit der Entwicklung im Flüchtlingsbereich wurde mit GRDrs</w:t>
      </w:r>
      <w:r w:rsidR="0088557D">
        <w:rPr>
          <w:rFonts w:cs="Arial"/>
        </w:rPr>
        <w:t>.</w:t>
      </w:r>
      <w:r w:rsidRPr="003E4147">
        <w:rPr>
          <w:rFonts w:cs="Arial"/>
        </w:rPr>
        <w:t xml:space="preserve"> 1209/2015 (Geschäftsplan 2016) das Jobcenter ermächtigt, Personal im Umfang von 66,07 VZK außerhalb des Stellenplans zu beschäftigen. Diese Ermächtigung erfolgte unbefristet. Aufgrund der Fallzahlenentwicklung im Gesamtbestand erfolgte mit GRDrs</w:t>
      </w:r>
      <w:r w:rsidR="0088557D">
        <w:rPr>
          <w:rFonts w:cs="Arial"/>
        </w:rPr>
        <w:t>.</w:t>
      </w:r>
      <w:r w:rsidRPr="003E4147">
        <w:rPr>
          <w:rFonts w:cs="Arial"/>
        </w:rPr>
        <w:t xml:space="preserve"> 910/2017 - Neufassung eine Reduzierung der dauerhaften Ermächtigungen für den Flüchtlingsbereich von 66,07 auf 51,00 VZK. Mit GRDrs</w:t>
      </w:r>
      <w:r w:rsidR="0088557D">
        <w:rPr>
          <w:rFonts w:cs="Arial"/>
        </w:rPr>
        <w:t>.</w:t>
      </w:r>
      <w:r w:rsidRPr="003E4147">
        <w:rPr>
          <w:rFonts w:cs="Arial"/>
        </w:rPr>
        <w:t xml:space="preserve"> 805/2018 wurde erneut eine Anpassung von 51,00 VZK auf 36,12 VZK vorgenommen. </w:t>
      </w:r>
      <w:r w:rsidRPr="00F46B64">
        <w:rPr>
          <w:rFonts w:cs="Arial"/>
        </w:rPr>
        <w:t>Der dauerhafte Erhalt der Ermächtigungen (36,1</w:t>
      </w:r>
      <w:r w:rsidR="00A355EA" w:rsidRPr="00F46B64">
        <w:rPr>
          <w:rFonts w:cs="Arial"/>
        </w:rPr>
        <w:t>2</w:t>
      </w:r>
      <w:r w:rsidRPr="00F46B64">
        <w:rPr>
          <w:rFonts w:cs="Arial"/>
        </w:rPr>
        <w:t xml:space="preserve"> VZK) zur Beschäftigung von Personal außerhalb des Stellenplans </w:t>
      </w:r>
      <w:r w:rsidR="009D2749" w:rsidRPr="00F46B64">
        <w:rPr>
          <w:rFonts w:cs="Arial"/>
        </w:rPr>
        <w:t>im Flüchtlingsbereich wurde mit GRDrs</w:t>
      </w:r>
      <w:r w:rsidR="0088557D">
        <w:rPr>
          <w:rFonts w:cs="Arial"/>
        </w:rPr>
        <w:t>.</w:t>
      </w:r>
      <w:r w:rsidR="009D2749" w:rsidRPr="00F46B64">
        <w:rPr>
          <w:rFonts w:cs="Arial"/>
        </w:rPr>
        <w:t xml:space="preserve"> 987/2019 beschlossen. </w:t>
      </w:r>
      <w:r w:rsidRPr="00F46B64">
        <w:rPr>
          <w:rFonts w:cs="Arial"/>
        </w:rPr>
        <w:t xml:space="preserve"> </w:t>
      </w:r>
    </w:p>
    <w:p w:rsidR="00357B8F" w:rsidRDefault="00357B8F" w:rsidP="00615D6C">
      <w:pPr>
        <w:autoSpaceDE w:val="0"/>
        <w:autoSpaceDN w:val="0"/>
        <w:adjustRightInd w:val="0"/>
        <w:rPr>
          <w:rFonts w:eastAsiaTheme="minorEastAsia" w:cs="Arial"/>
        </w:rPr>
      </w:pPr>
    </w:p>
    <w:p w:rsidR="00615D6C" w:rsidRPr="00615D6C" w:rsidRDefault="00615D6C" w:rsidP="00615D6C">
      <w:pPr>
        <w:autoSpaceDE w:val="0"/>
        <w:autoSpaceDN w:val="0"/>
        <w:adjustRightInd w:val="0"/>
        <w:rPr>
          <w:rFonts w:eastAsiaTheme="minorEastAsia" w:cs="Arial"/>
        </w:rPr>
      </w:pPr>
      <w:r w:rsidRPr="007F6B8A">
        <w:rPr>
          <w:rFonts w:eastAsiaTheme="minorEastAsia" w:cs="Arial"/>
        </w:rPr>
        <w:lastRenderedPageBreak/>
        <w:t>Die gesamtgesellschaftlich gebotene</w:t>
      </w:r>
      <w:r>
        <w:rPr>
          <w:rFonts w:eastAsiaTheme="minorEastAsia" w:cs="Arial"/>
        </w:rPr>
        <w:t xml:space="preserve"> zielgerichtete Integration von Geflüchteten </w:t>
      </w:r>
      <w:r w:rsidRPr="007F6B8A">
        <w:rPr>
          <w:rFonts w:eastAsiaTheme="minorEastAsia" w:cs="Arial"/>
        </w:rPr>
        <w:t>beding</w:t>
      </w:r>
      <w:r>
        <w:rPr>
          <w:rFonts w:eastAsiaTheme="minorEastAsia" w:cs="Arial"/>
        </w:rPr>
        <w:t>t</w:t>
      </w:r>
      <w:r w:rsidRPr="007F6B8A">
        <w:rPr>
          <w:rFonts w:eastAsiaTheme="minorEastAsia" w:cs="Arial"/>
        </w:rPr>
        <w:t xml:space="preserve"> zwingend die Bereitstellung von Personalressourcen</w:t>
      </w:r>
      <w:r>
        <w:rPr>
          <w:rFonts w:eastAsiaTheme="minorEastAsia" w:cs="Arial"/>
        </w:rPr>
        <w:t>.</w:t>
      </w:r>
      <w:r w:rsidRPr="00615D6C">
        <w:rPr>
          <w:rFonts w:eastAsiaTheme="minorEastAsia" w:cs="Arial"/>
        </w:rPr>
        <w:t xml:space="preserve"> Die Notwendigkeit der besonderen Betreuungs- und Unterstützungsleistungen für Geflüchtete ist unbestritten.</w:t>
      </w:r>
    </w:p>
    <w:p w:rsidR="00615D6C" w:rsidRPr="00884D6C" w:rsidRDefault="00615D6C" w:rsidP="00884D6C"/>
    <w:p w:rsidR="000F0C24" w:rsidRDefault="00615D6C" w:rsidP="000F0C2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Im</w:t>
      </w:r>
      <w:r w:rsidR="00FA587D" w:rsidRPr="00FA587D">
        <w:rPr>
          <w:rFonts w:cs="Arial"/>
        </w:rPr>
        <w:t xml:space="preserve"> Jobcenter Stuttgart </w:t>
      </w:r>
      <w:r>
        <w:rPr>
          <w:rFonts w:cs="Arial"/>
        </w:rPr>
        <w:t xml:space="preserve">ist diese zentrale Aufgabe in der </w:t>
      </w:r>
      <w:r w:rsidR="00FA587D" w:rsidRPr="00FA587D">
        <w:rPr>
          <w:rFonts w:cs="Arial"/>
        </w:rPr>
        <w:t xml:space="preserve">Abteilung Migration und Teilhabe </w:t>
      </w:r>
      <w:r>
        <w:rPr>
          <w:rFonts w:cs="Arial"/>
        </w:rPr>
        <w:t>angesiedelt.</w:t>
      </w:r>
    </w:p>
    <w:p w:rsidR="00615D6C" w:rsidRDefault="00615D6C" w:rsidP="000F0C24">
      <w:pPr>
        <w:autoSpaceDE w:val="0"/>
        <w:autoSpaceDN w:val="0"/>
        <w:adjustRightInd w:val="0"/>
        <w:rPr>
          <w:rFonts w:eastAsiaTheme="minorEastAsia" w:cs="Arial"/>
        </w:rPr>
      </w:pPr>
    </w:p>
    <w:p w:rsidR="005E5AB9" w:rsidRPr="00615D6C" w:rsidRDefault="005E5AB9" w:rsidP="000F0C24">
      <w:pPr>
        <w:autoSpaceDE w:val="0"/>
        <w:autoSpaceDN w:val="0"/>
        <w:adjustRightInd w:val="0"/>
        <w:rPr>
          <w:rFonts w:cs="Arial"/>
        </w:rPr>
      </w:pPr>
      <w:r w:rsidRPr="00615D6C">
        <w:rPr>
          <w:rFonts w:cs="Arial"/>
        </w:rPr>
        <w:t xml:space="preserve">Seit 2016 haben die wirtschaftlichen, politischen und gesellschaftlichen Entwicklungen im In- und Ausland </w:t>
      </w:r>
      <w:r w:rsidR="00615D6C" w:rsidRPr="00615D6C">
        <w:rPr>
          <w:rFonts w:cs="Arial"/>
        </w:rPr>
        <w:t xml:space="preserve">zur </w:t>
      </w:r>
      <w:r w:rsidRPr="00615D6C">
        <w:rPr>
          <w:rFonts w:cs="Arial"/>
        </w:rPr>
        <w:t xml:space="preserve">Verstetigung der Kundenzahlen insgesamt geführt, und einer damit verbundenen Verstetigung der Personalbedarfe. </w:t>
      </w:r>
    </w:p>
    <w:p w:rsidR="00BB381C" w:rsidRDefault="00BB381C" w:rsidP="005E5AB9">
      <w:pPr>
        <w:rPr>
          <w:rFonts w:eastAsiaTheme="minorEastAsia" w:cs="Arial"/>
        </w:rPr>
      </w:pPr>
    </w:p>
    <w:p w:rsidR="00BB381C" w:rsidRDefault="00615D6C" w:rsidP="00BB381C">
      <w:pPr>
        <w:rPr>
          <w:rFonts w:eastAsiaTheme="minorEastAsia" w:cs="Arial"/>
        </w:rPr>
      </w:pPr>
      <w:r w:rsidRPr="00615D6C">
        <w:rPr>
          <w:rFonts w:eastAsiaTheme="minorEastAsia" w:cs="Arial"/>
        </w:rPr>
        <w:t xml:space="preserve">Vor diesem Hintergrund wird </w:t>
      </w:r>
      <w:r w:rsidR="00BB381C" w:rsidRPr="00BB381C">
        <w:rPr>
          <w:rFonts w:eastAsiaTheme="minorEastAsia" w:cs="Arial"/>
        </w:rPr>
        <w:t xml:space="preserve">die </w:t>
      </w:r>
      <w:r w:rsidR="009D2749">
        <w:rPr>
          <w:rFonts w:eastAsiaTheme="minorEastAsia" w:cs="Arial"/>
        </w:rPr>
        <w:t>Weiterführung der dauerhaften</w:t>
      </w:r>
      <w:r w:rsidR="00BB381C" w:rsidRPr="00BB381C">
        <w:rPr>
          <w:rFonts w:eastAsiaTheme="minorEastAsia" w:cs="Arial"/>
        </w:rPr>
        <w:t xml:space="preserve"> Ermächtigungen in </w:t>
      </w:r>
      <w:r w:rsidR="009D2749">
        <w:rPr>
          <w:rFonts w:eastAsiaTheme="minorEastAsia" w:cs="Arial"/>
        </w:rPr>
        <w:t xml:space="preserve">dauerhafte </w:t>
      </w:r>
      <w:r w:rsidR="00BB381C" w:rsidRPr="00BB381C">
        <w:rPr>
          <w:rFonts w:eastAsiaTheme="minorEastAsia" w:cs="Arial"/>
        </w:rPr>
        <w:t xml:space="preserve">Stellen beantragt.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BB381C" w:rsidRDefault="009926B6" w:rsidP="00064BD3">
      <w:r>
        <w:t>Bisher wurde</w:t>
      </w:r>
      <w:r w:rsidR="00BB381C">
        <w:t xml:space="preserve"> die Aufgabe</w:t>
      </w:r>
      <w:r>
        <w:t>n</w:t>
      </w:r>
      <w:r w:rsidR="00BB381C">
        <w:t>übernahme über</w:t>
      </w:r>
      <w:r w:rsidR="00064BD3">
        <w:t xml:space="preserve"> die folgenden</w:t>
      </w:r>
      <w:r w:rsidR="00BB381C">
        <w:t xml:space="preserve"> </w:t>
      </w:r>
      <w:r w:rsidR="009D2749" w:rsidRPr="003E4147">
        <w:t>dauerhafte</w:t>
      </w:r>
      <w:r w:rsidR="00064BD3">
        <w:t>n</w:t>
      </w:r>
      <w:r w:rsidR="009D2749" w:rsidRPr="003E4147">
        <w:t xml:space="preserve"> Ermächtigungen </w:t>
      </w:r>
      <w:r w:rsidR="00064BD3">
        <w:t>geleistet:</w:t>
      </w:r>
    </w:p>
    <w:p w:rsidR="00064BD3" w:rsidRDefault="00064BD3" w:rsidP="00064BD3"/>
    <w:p w:rsidR="00064BD3" w:rsidRDefault="00064BD3" w:rsidP="00064BD3">
      <w:r>
        <w:t>060 2900 210, 060 2900 220, 060 2900 300-315, 060 2900 400-413, 060 2900250-252, 060 2900 3</w:t>
      </w:r>
      <w:r w:rsidR="0088557D">
        <w:t>22, 060 2900 420, 060 2900 644-</w:t>
      </w:r>
      <w:r>
        <w:t xml:space="preserve">646,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975C5" w:rsidRDefault="008975C5" w:rsidP="00FA587D">
      <w:pPr>
        <w:autoSpaceDE w:val="0"/>
        <w:autoSpaceDN w:val="0"/>
        <w:adjustRightInd w:val="0"/>
      </w:pPr>
    </w:p>
    <w:p w:rsidR="00FA587D" w:rsidRPr="003E4147" w:rsidRDefault="009D2749" w:rsidP="00FA587D">
      <w:pPr>
        <w:autoSpaceDE w:val="0"/>
        <w:autoSpaceDN w:val="0"/>
        <w:adjustRightInd w:val="0"/>
        <w:rPr>
          <w:rFonts w:cs="Arial"/>
        </w:rPr>
      </w:pPr>
      <w:r w:rsidRPr="003E4147">
        <w:rPr>
          <w:rFonts w:cs="Arial"/>
        </w:rPr>
        <w:t>Grundsätzlich sind dauerhafte Ermächtigungen nicht vorgesehen. Mit diesem Antrag soll diese</w:t>
      </w:r>
      <w:r w:rsidR="008975C5" w:rsidRPr="003E4147">
        <w:rPr>
          <w:rFonts w:cs="Arial"/>
        </w:rPr>
        <w:t>r Umstand behoben werden, anderenfalls erfolgt</w:t>
      </w:r>
      <w:r w:rsidRPr="003E4147">
        <w:rPr>
          <w:rFonts w:cs="Arial"/>
        </w:rPr>
        <w:t xml:space="preserve"> </w:t>
      </w:r>
      <w:r w:rsidR="008975C5" w:rsidRPr="003E4147">
        <w:rPr>
          <w:rFonts w:cs="Arial"/>
        </w:rPr>
        <w:t>b</w:t>
      </w:r>
      <w:r w:rsidR="00FA587D" w:rsidRPr="003E4147">
        <w:rPr>
          <w:rFonts w:cs="Arial"/>
        </w:rPr>
        <w:t xml:space="preserve">ei einer Ablehnung der Stellenschaffungen </w:t>
      </w:r>
      <w:r w:rsidRPr="003E4147">
        <w:rPr>
          <w:rFonts w:cs="Arial"/>
        </w:rPr>
        <w:t>die</w:t>
      </w:r>
      <w:r w:rsidR="00FA587D" w:rsidRPr="003E4147">
        <w:rPr>
          <w:rFonts w:cs="Arial"/>
        </w:rPr>
        <w:t xml:space="preserve"> bedarfsgerechte Betreuung der Personengruppen </w:t>
      </w:r>
      <w:r w:rsidRPr="003E4147">
        <w:rPr>
          <w:rFonts w:cs="Arial"/>
        </w:rPr>
        <w:t>weiterhin über die dauerhaften Ermächtigungen</w:t>
      </w:r>
      <w:r w:rsidR="008975C5" w:rsidRPr="003E4147">
        <w:rPr>
          <w:rFonts w:cs="Arial"/>
        </w:rPr>
        <w:t xml:space="preserve"> und der </w:t>
      </w:r>
      <w:r w:rsidR="003B3024" w:rsidRPr="003E4147">
        <w:rPr>
          <w:rFonts w:cs="Arial"/>
        </w:rPr>
        <w:t>w</w:t>
      </w:r>
      <w:r w:rsidR="008975C5" w:rsidRPr="003E4147">
        <w:rPr>
          <w:rFonts w:cs="Arial"/>
        </w:rPr>
        <w:t>idersprüchliche Zustand würde weiterhin beibehalten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064BD3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16" w:rsidRDefault="00F63016">
      <w:r>
        <w:separator/>
      </w:r>
    </w:p>
  </w:endnote>
  <w:endnote w:type="continuationSeparator" w:id="0">
    <w:p w:rsidR="00F63016" w:rsidRDefault="00F6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16" w:rsidRDefault="00F63016">
      <w:r>
        <w:separator/>
      </w:r>
    </w:p>
  </w:footnote>
  <w:footnote w:type="continuationSeparator" w:id="0">
    <w:p w:rsidR="00F63016" w:rsidRDefault="00F6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425A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A757D"/>
    <w:multiLevelType w:val="hybridMultilevel"/>
    <w:tmpl w:val="4CC20A44"/>
    <w:lvl w:ilvl="0" w:tplc="AAE487F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09308E9"/>
    <w:multiLevelType w:val="hybridMultilevel"/>
    <w:tmpl w:val="182E1B6C"/>
    <w:lvl w:ilvl="0" w:tplc="484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B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B7"/>
    <w:rsid w:val="00026253"/>
    <w:rsid w:val="00055758"/>
    <w:rsid w:val="00061F0B"/>
    <w:rsid w:val="00064BD3"/>
    <w:rsid w:val="00094847"/>
    <w:rsid w:val="000A1146"/>
    <w:rsid w:val="000F0C2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50288"/>
    <w:rsid w:val="00266882"/>
    <w:rsid w:val="002924CB"/>
    <w:rsid w:val="002A20D1"/>
    <w:rsid w:val="002A4DE3"/>
    <w:rsid w:val="002B5955"/>
    <w:rsid w:val="002F165C"/>
    <w:rsid w:val="00302DCF"/>
    <w:rsid w:val="0030686C"/>
    <w:rsid w:val="00323C3D"/>
    <w:rsid w:val="00327BCA"/>
    <w:rsid w:val="00357B8F"/>
    <w:rsid w:val="00380937"/>
    <w:rsid w:val="00397717"/>
    <w:rsid w:val="003B3024"/>
    <w:rsid w:val="003D7B0B"/>
    <w:rsid w:val="003E0F4B"/>
    <w:rsid w:val="003E4147"/>
    <w:rsid w:val="003F0FAA"/>
    <w:rsid w:val="004135B7"/>
    <w:rsid w:val="00436874"/>
    <w:rsid w:val="00444184"/>
    <w:rsid w:val="00447566"/>
    <w:rsid w:val="00470135"/>
    <w:rsid w:val="0047606A"/>
    <w:rsid w:val="004908B5"/>
    <w:rsid w:val="0049121B"/>
    <w:rsid w:val="004A1688"/>
    <w:rsid w:val="004B6796"/>
    <w:rsid w:val="004D0F5B"/>
    <w:rsid w:val="005272BC"/>
    <w:rsid w:val="005425A4"/>
    <w:rsid w:val="005A0A9D"/>
    <w:rsid w:val="005A56AA"/>
    <w:rsid w:val="005E19C6"/>
    <w:rsid w:val="005E5AB9"/>
    <w:rsid w:val="005F5B3D"/>
    <w:rsid w:val="00606F80"/>
    <w:rsid w:val="00615D6C"/>
    <w:rsid w:val="00622CC7"/>
    <w:rsid w:val="006468C7"/>
    <w:rsid w:val="00656DD4"/>
    <w:rsid w:val="006A406B"/>
    <w:rsid w:val="006B6D50"/>
    <w:rsid w:val="006E0575"/>
    <w:rsid w:val="00711309"/>
    <w:rsid w:val="00722289"/>
    <w:rsid w:val="0072799A"/>
    <w:rsid w:val="00754659"/>
    <w:rsid w:val="0076298E"/>
    <w:rsid w:val="007E3B79"/>
    <w:rsid w:val="008066EE"/>
    <w:rsid w:val="00817BB6"/>
    <w:rsid w:val="00884D6C"/>
    <w:rsid w:val="0088557D"/>
    <w:rsid w:val="008975C5"/>
    <w:rsid w:val="008C7CF1"/>
    <w:rsid w:val="008F3B16"/>
    <w:rsid w:val="00920F00"/>
    <w:rsid w:val="00922CE4"/>
    <w:rsid w:val="009373F6"/>
    <w:rsid w:val="00946276"/>
    <w:rsid w:val="0096038F"/>
    <w:rsid w:val="0097582E"/>
    <w:rsid w:val="00976588"/>
    <w:rsid w:val="009926B6"/>
    <w:rsid w:val="009D2749"/>
    <w:rsid w:val="009F5AE6"/>
    <w:rsid w:val="00A27CA7"/>
    <w:rsid w:val="00A355EA"/>
    <w:rsid w:val="00A45B30"/>
    <w:rsid w:val="00A66F28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970C8"/>
    <w:rsid w:val="00B97651"/>
    <w:rsid w:val="00BB381C"/>
    <w:rsid w:val="00BC4669"/>
    <w:rsid w:val="00C16EF1"/>
    <w:rsid w:val="00C448D3"/>
    <w:rsid w:val="00C80B79"/>
    <w:rsid w:val="00C84553"/>
    <w:rsid w:val="00CF62E5"/>
    <w:rsid w:val="00D66D3A"/>
    <w:rsid w:val="00D743D4"/>
    <w:rsid w:val="00DB3D6C"/>
    <w:rsid w:val="00DD5578"/>
    <w:rsid w:val="00DE362D"/>
    <w:rsid w:val="00E014B6"/>
    <w:rsid w:val="00E1162F"/>
    <w:rsid w:val="00E11D5F"/>
    <w:rsid w:val="00E20E1F"/>
    <w:rsid w:val="00E4132B"/>
    <w:rsid w:val="00E42F96"/>
    <w:rsid w:val="00E446D7"/>
    <w:rsid w:val="00E7118F"/>
    <w:rsid w:val="00F27657"/>
    <w:rsid w:val="00F342DC"/>
    <w:rsid w:val="00F44D68"/>
    <w:rsid w:val="00F46B64"/>
    <w:rsid w:val="00F56F93"/>
    <w:rsid w:val="00F63016"/>
    <w:rsid w:val="00F63041"/>
    <w:rsid w:val="00F76452"/>
    <w:rsid w:val="00FA587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575D4"/>
  <w15:docId w15:val="{8E37BBEF-CB1A-4460-9FB5-E5887F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57B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42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137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421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Kerqota, Rineta</dc:creator>
  <cp:lastModifiedBy>Baumann, Gerhard</cp:lastModifiedBy>
  <cp:revision>5</cp:revision>
  <cp:lastPrinted>2023-10-06T08:17:00Z</cp:lastPrinted>
  <dcterms:created xsi:type="dcterms:W3CDTF">2023-08-28T15:45:00Z</dcterms:created>
  <dcterms:modified xsi:type="dcterms:W3CDTF">2023-10-06T08:17:00Z</dcterms:modified>
</cp:coreProperties>
</file>