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04478">
        <w:t>68</w:t>
      </w:r>
      <w:r w:rsidRPr="006E0575">
        <w:t xml:space="preserve"> zur GRDrs</w:t>
      </w:r>
      <w:r w:rsidR="00B77127">
        <w:t>.</w:t>
      </w:r>
      <w:r w:rsidRPr="006E0575">
        <w:t xml:space="preserve"> </w:t>
      </w:r>
      <w:r w:rsidR="00B77127">
        <w:t>823</w:t>
      </w:r>
      <w:r w:rsidR="005F5B3D">
        <w:t>/20</w:t>
      </w:r>
      <w:r w:rsidR="008D26A7">
        <w:t>23</w:t>
      </w:r>
    </w:p>
    <w:p w:rsidR="003D7B0B" w:rsidRPr="006E0575" w:rsidRDefault="003D7B0B" w:rsidP="006E0575"/>
    <w:p w:rsidR="003D7B0B" w:rsidRPr="006E0575" w:rsidRDefault="003D7B0B" w:rsidP="006E0575"/>
    <w:p w:rsidR="009106E0" w:rsidRPr="006756DB" w:rsidRDefault="009106E0" w:rsidP="009106E0">
      <w:pPr>
        <w:jc w:val="center"/>
        <w:rPr>
          <w:b/>
          <w:sz w:val="36"/>
        </w:rPr>
      </w:pPr>
      <w:r w:rsidRPr="006756DB">
        <w:rPr>
          <w:b/>
          <w:sz w:val="36"/>
          <w:u w:val="single"/>
        </w:rPr>
        <w:t xml:space="preserve">Verlängerung von Ermächtigungen </w:t>
      </w:r>
    </w:p>
    <w:p w:rsidR="009106E0" w:rsidRPr="006756DB" w:rsidRDefault="009106E0" w:rsidP="009106E0">
      <w:pPr>
        <w:jc w:val="center"/>
        <w:rPr>
          <w:b/>
          <w:sz w:val="36"/>
          <w:szCs w:val="36"/>
          <w:u w:val="single"/>
        </w:rPr>
      </w:pPr>
      <w:r w:rsidRPr="006756DB">
        <w:rPr>
          <w:b/>
          <w:sz w:val="36"/>
          <w:szCs w:val="36"/>
          <w:u w:val="single"/>
        </w:rPr>
        <w:t>zur Einstellung von Personal</w:t>
      </w:r>
    </w:p>
    <w:p w:rsidR="009106E0" w:rsidRPr="006756DB" w:rsidRDefault="009106E0" w:rsidP="009106E0">
      <w:pPr>
        <w:jc w:val="center"/>
        <w:rPr>
          <w:b/>
          <w:sz w:val="36"/>
          <w:szCs w:val="36"/>
          <w:u w:val="single"/>
        </w:rPr>
      </w:pPr>
      <w:r w:rsidRPr="006756DB">
        <w:rPr>
          <w:b/>
          <w:sz w:val="36"/>
          <w:szCs w:val="36"/>
          <w:u w:val="single"/>
        </w:rPr>
        <w:t>außerhalb des Stellenplans</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243"/>
        <w:gridCol w:w="1252"/>
        <w:gridCol w:w="1928"/>
        <w:gridCol w:w="737"/>
        <w:gridCol w:w="1186"/>
        <w:gridCol w:w="1365"/>
      </w:tblGrid>
      <w:tr w:rsidR="009106E0" w:rsidRPr="006E0575" w:rsidTr="009106E0">
        <w:trPr>
          <w:cantSplit/>
          <w:tblHeader/>
        </w:trPr>
        <w:tc>
          <w:tcPr>
            <w:tcW w:w="1814" w:type="dxa"/>
            <w:shd w:val="pct12" w:color="auto" w:fill="FFFFFF"/>
          </w:tcPr>
          <w:p w:rsidR="009106E0" w:rsidRDefault="009106E0" w:rsidP="009106E0">
            <w:pPr>
              <w:spacing w:before="120" w:after="120" w:line="200" w:lineRule="exact"/>
              <w:rPr>
                <w:sz w:val="16"/>
                <w:szCs w:val="16"/>
              </w:rPr>
            </w:pPr>
            <w:r>
              <w:rPr>
                <w:sz w:val="16"/>
                <w:szCs w:val="16"/>
              </w:rPr>
              <w:t>Stellennummer,</w:t>
            </w:r>
          </w:p>
          <w:p w:rsidR="009106E0" w:rsidRPr="006E0575" w:rsidRDefault="009106E0" w:rsidP="009106E0">
            <w:pPr>
              <w:spacing w:before="120" w:after="120" w:line="200" w:lineRule="exact"/>
              <w:ind w:right="-85"/>
              <w:rPr>
                <w:sz w:val="16"/>
                <w:szCs w:val="16"/>
              </w:rPr>
            </w:pPr>
            <w:r>
              <w:rPr>
                <w:sz w:val="16"/>
                <w:szCs w:val="16"/>
              </w:rPr>
              <w:t>Kostenstelle</w:t>
            </w:r>
          </w:p>
        </w:tc>
        <w:tc>
          <w:tcPr>
            <w:tcW w:w="1243" w:type="dxa"/>
            <w:shd w:val="pct12" w:color="auto" w:fill="FFFFFF"/>
          </w:tcPr>
          <w:p w:rsidR="009106E0" w:rsidRPr="006E0575" w:rsidRDefault="009106E0" w:rsidP="009106E0">
            <w:pPr>
              <w:spacing w:before="120" w:after="120" w:line="200" w:lineRule="exact"/>
              <w:ind w:right="-85"/>
              <w:rPr>
                <w:sz w:val="16"/>
                <w:szCs w:val="16"/>
              </w:rPr>
            </w:pPr>
            <w:r w:rsidRPr="006E0575">
              <w:rPr>
                <w:sz w:val="16"/>
                <w:szCs w:val="16"/>
              </w:rPr>
              <w:t>Amt</w:t>
            </w:r>
          </w:p>
        </w:tc>
        <w:tc>
          <w:tcPr>
            <w:tcW w:w="1252" w:type="dxa"/>
            <w:shd w:val="pct12" w:color="auto" w:fill="FFFFFF"/>
          </w:tcPr>
          <w:p w:rsidR="009106E0" w:rsidRDefault="009106E0" w:rsidP="009106E0">
            <w:pPr>
              <w:spacing w:before="120" w:after="120" w:line="200" w:lineRule="exact"/>
              <w:ind w:right="-85"/>
              <w:rPr>
                <w:sz w:val="16"/>
                <w:szCs w:val="16"/>
              </w:rPr>
            </w:pPr>
            <w:r>
              <w:rPr>
                <w:sz w:val="16"/>
                <w:szCs w:val="16"/>
              </w:rPr>
              <w:t>BesGr.</w:t>
            </w:r>
          </w:p>
          <w:p w:rsidR="009106E0" w:rsidRDefault="009106E0" w:rsidP="009106E0">
            <w:pPr>
              <w:spacing w:before="120" w:after="120" w:line="200" w:lineRule="exact"/>
              <w:ind w:right="-85"/>
              <w:rPr>
                <w:sz w:val="16"/>
                <w:szCs w:val="16"/>
              </w:rPr>
            </w:pPr>
            <w:r>
              <w:rPr>
                <w:sz w:val="16"/>
                <w:szCs w:val="16"/>
              </w:rPr>
              <w:t>oder</w:t>
            </w:r>
          </w:p>
          <w:p w:rsidR="009106E0" w:rsidRPr="006E0575" w:rsidRDefault="009106E0" w:rsidP="009106E0">
            <w:pPr>
              <w:spacing w:before="120" w:after="120" w:line="200" w:lineRule="exact"/>
              <w:ind w:right="-85"/>
              <w:rPr>
                <w:sz w:val="16"/>
                <w:szCs w:val="16"/>
              </w:rPr>
            </w:pPr>
            <w:r>
              <w:rPr>
                <w:sz w:val="16"/>
                <w:szCs w:val="16"/>
              </w:rPr>
              <w:t>EG</w:t>
            </w:r>
          </w:p>
        </w:tc>
        <w:tc>
          <w:tcPr>
            <w:tcW w:w="1928" w:type="dxa"/>
            <w:shd w:val="pct12" w:color="auto" w:fill="FFFFFF"/>
          </w:tcPr>
          <w:p w:rsidR="009106E0" w:rsidRPr="006E0575" w:rsidRDefault="009106E0" w:rsidP="009106E0">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rsidR="009106E0" w:rsidRPr="006E0575" w:rsidRDefault="00DF24F2" w:rsidP="009106E0">
            <w:pPr>
              <w:spacing w:before="120" w:after="120" w:line="200" w:lineRule="exact"/>
              <w:ind w:right="-85"/>
              <w:rPr>
                <w:sz w:val="16"/>
                <w:szCs w:val="16"/>
              </w:rPr>
            </w:pPr>
            <w:r>
              <w:rPr>
                <w:sz w:val="16"/>
                <w:szCs w:val="16"/>
              </w:rPr>
              <w:t>Umfang in VZK</w:t>
            </w:r>
          </w:p>
        </w:tc>
        <w:tc>
          <w:tcPr>
            <w:tcW w:w="1186" w:type="dxa"/>
            <w:shd w:val="pct12" w:color="auto" w:fill="FFFFFF"/>
          </w:tcPr>
          <w:p w:rsidR="009106E0" w:rsidRPr="006756DB" w:rsidRDefault="009106E0" w:rsidP="009106E0">
            <w:pPr>
              <w:spacing w:before="120" w:after="120" w:line="200" w:lineRule="exact"/>
              <w:ind w:right="-85"/>
              <w:rPr>
                <w:sz w:val="16"/>
                <w:szCs w:val="16"/>
              </w:rPr>
            </w:pPr>
            <w:r w:rsidRPr="006756DB">
              <w:rPr>
                <w:sz w:val="16"/>
                <w:szCs w:val="16"/>
              </w:rPr>
              <w:t>Eingerichtet bis</w:t>
            </w:r>
          </w:p>
          <w:p w:rsidR="009106E0" w:rsidRPr="006756DB" w:rsidRDefault="009106E0" w:rsidP="009106E0">
            <w:pPr>
              <w:spacing w:before="120" w:after="120" w:line="200" w:lineRule="exact"/>
              <w:ind w:right="-85"/>
              <w:rPr>
                <w:sz w:val="16"/>
                <w:szCs w:val="16"/>
              </w:rPr>
            </w:pPr>
            <w:r w:rsidRPr="006756DB">
              <w:rPr>
                <w:sz w:val="16"/>
                <w:szCs w:val="16"/>
              </w:rPr>
              <w:t>bisher</w:t>
            </w:r>
          </w:p>
          <w:p w:rsidR="009106E0" w:rsidRPr="006E0575" w:rsidRDefault="009106E0" w:rsidP="009106E0">
            <w:pPr>
              <w:spacing w:before="120" w:after="120" w:line="200" w:lineRule="exact"/>
              <w:rPr>
                <w:sz w:val="16"/>
                <w:szCs w:val="16"/>
              </w:rPr>
            </w:pPr>
            <w:r w:rsidRPr="006756DB">
              <w:rPr>
                <w:b/>
                <w:sz w:val="16"/>
                <w:szCs w:val="16"/>
              </w:rPr>
              <w:t>neu</w:t>
            </w:r>
          </w:p>
        </w:tc>
        <w:tc>
          <w:tcPr>
            <w:tcW w:w="1365" w:type="dxa"/>
            <w:shd w:val="pct12" w:color="auto" w:fill="FFFFFF"/>
          </w:tcPr>
          <w:p w:rsidR="009106E0" w:rsidRPr="006E0575" w:rsidRDefault="009106E0" w:rsidP="009106E0">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 xml:space="preserve">wirksamer </w:t>
            </w:r>
            <w:r>
              <w:rPr>
                <w:sz w:val="16"/>
                <w:szCs w:val="16"/>
              </w:rPr>
              <w:br/>
            </w:r>
            <w:r w:rsidRPr="006E0575">
              <w:rPr>
                <w:sz w:val="16"/>
                <w:szCs w:val="16"/>
              </w:rPr>
              <w:t>Auf</w:t>
            </w:r>
            <w:r>
              <w:rPr>
                <w:sz w:val="16"/>
                <w:szCs w:val="16"/>
              </w:rPr>
              <w:t xml:space="preserve">wand </w:t>
            </w:r>
            <w:r>
              <w:rPr>
                <w:sz w:val="16"/>
                <w:szCs w:val="16"/>
              </w:rPr>
              <w:br/>
              <w:t>in Euro</w:t>
            </w:r>
          </w:p>
        </w:tc>
      </w:tr>
      <w:tr w:rsidR="009106E0" w:rsidRPr="006E0575" w:rsidTr="009106E0">
        <w:tc>
          <w:tcPr>
            <w:tcW w:w="1814" w:type="dxa"/>
          </w:tcPr>
          <w:p w:rsidR="009106E0" w:rsidRDefault="009106E0" w:rsidP="009106E0">
            <w:pPr>
              <w:rPr>
                <w:sz w:val="20"/>
              </w:rPr>
            </w:pPr>
          </w:p>
          <w:p w:rsidR="009106E0" w:rsidRDefault="00404478" w:rsidP="009106E0">
            <w:pPr>
              <w:rPr>
                <w:sz w:val="20"/>
              </w:rPr>
            </w:pPr>
            <w:r>
              <w:rPr>
                <w:sz w:val="20"/>
              </w:rPr>
              <w:t>060.</w:t>
            </w:r>
            <w:r w:rsidR="009106E0">
              <w:rPr>
                <w:sz w:val="20"/>
              </w:rPr>
              <w:t>0010</w:t>
            </w:r>
            <w:r>
              <w:rPr>
                <w:sz w:val="20"/>
              </w:rPr>
              <w:t>.</w:t>
            </w:r>
            <w:r w:rsidR="009106E0">
              <w:rPr>
                <w:sz w:val="20"/>
              </w:rPr>
              <w:t>400</w:t>
            </w:r>
          </w:p>
          <w:p w:rsidR="009106E0" w:rsidRDefault="009106E0" w:rsidP="009106E0">
            <w:pPr>
              <w:rPr>
                <w:sz w:val="20"/>
              </w:rPr>
            </w:pPr>
          </w:p>
          <w:p w:rsidR="009106E0" w:rsidRDefault="009106E0" w:rsidP="009106E0">
            <w:pPr>
              <w:rPr>
                <w:sz w:val="20"/>
              </w:rPr>
            </w:pPr>
            <w:r>
              <w:rPr>
                <w:sz w:val="20"/>
              </w:rPr>
              <w:t>8050</w:t>
            </w:r>
            <w:r w:rsidR="00B77127">
              <w:rPr>
                <w:sz w:val="20"/>
              </w:rPr>
              <w:t xml:space="preserve"> </w:t>
            </w:r>
            <w:r>
              <w:rPr>
                <w:sz w:val="20"/>
              </w:rPr>
              <w:t>5210</w:t>
            </w:r>
          </w:p>
          <w:p w:rsidR="009106E0" w:rsidRDefault="009106E0" w:rsidP="009106E0">
            <w:pPr>
              <w:rPr>
                <w:sz w:val="20"/>
              </w:rPr>
            </w:pPr>
          </w:p>
          <w:p w:rsidR="009106E0" w:rsidRPr="006E0575" w:rsidRDefault="009106E0" w:rsidP="009106E0">
            <w:pPr>
              <w:rPr>
                <w:sz w:val="20"/>
              </w:rPr>
            </w:pPr>
          </w:p>
        </w:tc>
        <w:tc>
          <w:tcPr>
            <w:tcW w:w="1243" w:type="dxa"/>
          </w:tcPr>
          <w:p w:rsidR="009106E0" w:rsidRDefault="009106E0" w:rsidP="009106E0">
            <w:pPr>
              <w:rPr>
                <w:sz w:val="20"/>
              </w:rPr>
            </w:pPr>
          </w:p>
          <w:p w:rsidR="009106E0" w:rsidRPr="006E0575" w:rsidRDefault="009106E0" w:rsidP="009106E0">
            <w:pPr>
              <w:rPr>
                <w:sz w:val="20"/>
              </w:rPr>
            </w:pPr>
            <w:r>
              <w:rPr>
                <w:sz w:val="20"/>
              </w:rPr>
              <w:t>SI-IP</w:t>
            </w:r>
          </w:p>
        </w:tc>
        <w:tc>
          <w:tcPr>
            <w:tcW w:w="1252" w:type="dxa"/>
          </w:tcPr>
          <w:p w:rsidR="009106E0" w:rsidRDefault="009106E0" w:rsidP="009106E0">
            <w:pPr>
              <w:rPr>
                <w:sz w:val="20"/>
              </w:rPr>
            </w:pPr>
          </w:p>
          <w:p w:rsidR="009106E0" w:rsidRPr="006E0575" w:rsidRDefault="009106E0" w:rsidP="009106E0">
            <w:pPr>
              <w:rPr>
                <w:sz w:val="20"/>
              </w:rPr>
            </w:pPr>
            <w:r>
              <w:rPr>
                <w:sz w:val="20"/>
              </w:rPr>
              <w:t>EG 11</w:t>
            </w:r>
          </w:p>
        </w:tc>
        <w:tc>
          <w:tcPr>
            <w:tcW w:w="1928" w:type="dxa"/>
          </w:tcPr>
          <w:p w:rsidR="009106E0" w:rsidRDefault="009106E0" w:rsidP="009106E0">
            <w:pPr>
              <w:rPr>
                <w:sz w:val="20"/>
              </w:rPr>
            </w:pPr>
          </w:p>
          <w:p w:rsidR="009106E0" w:rsidRPr="006E0575" w:rsidRDefault="009106E0" w:rsidP="009106E0">
            <w:pPr>
              <w:rPr>
                <w:sz w:val="20"/>
              </w:rPr>
            </w:pPr>
            <w:r>
              <w:rPr>
                <w:sz w:val="20"/>
              </w:rPr>
              <w:t xml:space="preserve">Sachbearbeiter/-in </w:t>
            </w:r>
          </w:p>
        </w:tc>
        <w:tc>
          <w:tcPr>
            <w:tcW w:w="737" w:type="dxa"/>
            <w:shd w:val="pct12" w:color="auto" w:fill="FFFFFF"/>
          </w:tcPr>
          <w:p w:rsidR="009106E0" w:rsidRDefault="009106E0" w:rsidP="009106E0">
            <w:pPr>
              <w:rPr>
                <w:sz w:val="20"/>
              </w:rPr>
            </w:pPr>
          </w:p>
          <w:p w:rsidR="009106E0" w:rsidRPr="006E0575" w:rsidRDefault="009106E0" w:rsidP="009106E0">
            <w:pPr>
              <w:rPr>
                <w:sz w:val="20"/>
              </w:rPr>
            </w:pPr>
            <w:r>
              <w:rPr>
                <w:sz w:val="20"/>
              </w:rPr>
              <w:t>1,0</w:t>
            </w:r>
          </w:p>
        </w:tc>
        <w:tc>
          <w:tcPr>
            <w:tcW w:w="1186" w:type="dxa"/>
          </w:tcPr>
          <w:p w:rsidR="009106E0" w:rsidRDefault="009106E0" w:rsidP="009106E0">
            <w:pPr>
              <w:rPr>
                <w:sz w:val="20"/>
              </w:rPr>
            </w:pPr>
          </w:p>
          <w:p w:rsidR="009106E0" w:rsidRDefault="009106E0" w:rsidP="009106E0">
            <w:pPr>
              <w:rPr>
                <w:sz w:val="20"/>
              </w:rPr>
            </w:pPr>
            <w:r>
              <w:rPr>
                <w:sz w:val="20"/>
              </w:rPr>
              <w:t>31.12.2023</w:t>
            </w:r>
          </w:p>
          <w:p w:rsidR="009106E0" w:rsidRDefault="009106E0" w:rsidP="009106E0">
            <w:pPr>
              <w:rPr>
                <w:sz w:val="20"/>
              </w:rPr>
            </w:pPr>
          </w:p>
          <w:p w:rsidR="009106E0" w:rsidRPr="008C1FE6" w:rsidRDefault="009106E0" w:rsidP="009106E0">
            <w:pPr>
              <w:rPr>
                <w:b/>
                <w:sz w:val="20"/>
              </w:rPr>
            </w:pPr>
            <w:r w:rsidRPr="008C1FE6">
              <w:rPr>
                <w:b/>
                <w:sz w:val="20"/>
              </w:rPr>
              <w:t>31.12.2027</w:t>
            </w:r>
          </w:p>
        </w:tc>
        <w:tc>
          <w:tcPr>
            <w:tcW w:w="1365" w:type="dxa"/>
          </w:tcPr>
          <w:p w:rsidR="009106E0" w:rsidRDefault="009106E0" w:rsidP="009106E0">
            <w:pPr>
              <w:rPr>
                <w:sz w:val="20"/>
              </w:rPr>
            </w:pPr>
          </w:p>
          <w:p w:rsidR="009106E0" w:rsidRPr="006E0575" w:rsidRDefault="009106E0" w:rsidP="009106E0">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640F2">
              <w:rPr>
                <w:noProof/>
                <w:sz w:val="20"/>
              </w:rPr>
              <w:t> </w:t>
            </w:r>
            <w:r w:rsidR="006640F2">
              <w:rPr>
                <w:noProof/>
                <w:sz w:val="20"/>
              </w:rPr>
              <w:t> </w:t>
            </w:r>
            <w:r w:rsidR="006640F2">
              <w:rPr>
                <w:noProof/>
                <w:sz w:val="20"/>
              </w:rPr>
              <w:t> </w:t>
            </w:r>
            <w:r w:rsidR="006640F2">
              <w:rPr>
                <w:noProof/>
                <w:sz w:val="20"/>
              </w:rPr>
              <w:t> </w:t>
            </w:r>
            <w:r w:rsidR="006640F2">
              <w:rPr>
                <w:noProof/>
                <w:sz w:val="20"/>
              </w:rPr>
              <w:t> </w:t>
            </w:r>
            <w:r>
              <w:rPr>
                <w:sz w:val="20"/>
              </w:rPr>
              <w:fldChar w:fldCharType="end"/>
            </w:r>
          </w:p>
        </w:tc>
      </w:tr>
    </w:tbl>
    <w:p w:rsidR="009106E0" w:rsidRDefault="009106E0" w:rsidP="009106E0">
      <w:pPr>
        <w:rPr>
          <w:b/>
        </w:rPr>
      </w:pPr>
    </w:p>
    <w:p w:rsidR="009106E0" w:rsidRDefault="009106E0" w:rsidP="009106E0">
      <w:pPr>
        <w:rPr>
          <w:b/>
        </w:rPr>
      </w:pPr>
      <w:r w:rsidRPr="00D95A51">
        <w:rPr>
          <w:b/>
        </w:rPr>
        <w:t>Antrag</w:t>
      </w:r>
      <w:r>
        <w:rPr>
          <w:b/>
        </w:rPr>
        <w:t>:</w:t>
      </w:r>
    </w:p>
    <w:p w:rsidR="003D7B0B" w:rsidRDefault="003D7B0B" w:rsidP="00884D6C"/>
    <w:p w:rsidR="009106E0" w:rsidRDefault="009106E0" w:rsidP="009106E0">
      <w:r>
        <w:t>Der Verlängerung der o.</w:t>
      </w:r>
      <w:r w:rsidR="00B77127">
        <w:t xml:space="preserve"> g. Ermächtigung</w:t>
      </w:r>
      <w:r>
        <w:t xml:space="preserve"> </w:t>
      </w:r>
      <w:r w:rsidRPr="006331EA">
        <w:t>(</w:t>
      </w:r>
      <w:r>
        <w:t>GRDrs</w:t>
      </w:r>
      <w:r w:rsidR="00B77127">
        <w:t>.</w:t>
      </w:r>
      <w:r>
        <w:t xml:space="preserve"> 239/2022</w:t>
      </w:r>
      <w:r w:rsidRPr="006331EA">
        <w:t>)</w:t>
      </w:r>
      <w:r>
        <w:t xml:space="preserve"> für die Sachbearbeitung im Welcome Center bis </w:t>
      </w:r>
      <w:r w:rsidR="00B77127">
        <w:t>31.</w:t>
      </w:r>
      <w:r>
        <w:t>12</w:t>
      </w:r>
      <w:r w:rsidR="00B77127">
        <w:t>.</w:t>
      </w:r>
      <w:r>
        <w:t>2027 wird zugestimmt.</w:t>
      </w:r>
    </w:p>
    <w:p w:rsidR="009106E0" w:rsidRPr="001D7EBE" w:rsidRDefault="009106E0" w:rsidP="009106E0">
      <w:pPr>
        <w:pStyle w:val="berschrift2"/>
      </w:pPr>
      <w:r w:rsidRPr="001D7EBE">
        <w:t>Begründung:</w:t>
      </w:r>
    </w:p>
    <w:p w:rsidR="009106E0" w:rsidRDefault="009106E0" w:rsidP="009106E0"/>
    <w:p w:rsidR="008C1D13" w:rsidRDefault="00A047E8" w:rsidP="008C1D13">
      <w:pPr>
        <w:autoSpaceDE w:val="0"/>
        <w:autoSpaceDN w:val="0"/>
        <w:adjustRightInd w:val="0"/>
        <w:rPr>
          <w:rFonts w:cs="Arial"/>
          <w:color w:val="000000"/>
        </w:rPr>
      </w:pPr>
      <w:r w:rsidRPr="00DA5387">
        <w:rPr>
          <w:rFonts w:cs="Arial"/>
        </w:rPr>
        <w:t xml:space="preserve">Das Welcome Center ist eine der Erstanlaufstellen für Neubürger und Neubürgerinnen sowie für internationale Fachkräfte in Stuttgart. Seit der Ukraine-Krise hat sich der Alltag im Welcome Center sehr verändert. </w:t>
      </w:r>
      <w:r w:rsidR="008C1D13" w:rsidRPr="008C1D13">
        <w:rPr>
          <w:rFonts w:cs="Arial"/>
        </w:rPr>
        <w:t xml:space="preserve">Stand 24.01.2023 </w:t>
      </w:r>
      <w:r w:rsidR="008C1D13">
        <w:rPr>
          <w:rFonts w:cs="Arial"/>
          <w:color w:val="000000"/>
        </w:rPr>
        <w:t>hat das Welcome Center seit dem 24.02.2022 (seit Ausbruch des Krieges in der Ukraine) insgesamt rund 710 Beratungen geführt. Neben Ratsuchende</w:t>
      </w:r>
      <w:r w:rsidR="006640F2">
        <w:rPr>
          <w:rFonts w:cs="Arial"/>
          <w:color w:val="000000"/>
        </w:rPr>
        <w:t>n</w:t>
      </w:r>
      <w:r w:rsidR="008C1D13">
        <w:rPr>
          <w:rFonts w:cs="Arial"/>
          <w:color w:val="000000"/>
        </w:rPr>
        <w:t xml:space="preserve"> mit ukrainische</w:t>
      </w:r>
      <w:r w:rsidR="006640F2">
        <w:rPr>
          <w:rFonts w:cs="Arial"/>
          <w:color w:val="000000"/>
        </w:rPr>
        <w:t>r</w:t>
      </w:r>
      <w:bookmarkStart w:id="0" w:name="_GoBack"/>
      <w:bookmarkEnd w:id="0"/>
      <w:r w:rsidR="008C1D13">
        <w:rPr>
          <w:rFonts w:cs="Arial"/>
          <w:color w:val="000000"/>
        </w:rPr>
        <w:t xml:space="preserve"> Staatsangehörigkeit wurden ebenfalls viele Anfragen von Drittstaatsangehörigen, welche aus der Ukraine geflohen sind bearbeit</w:t>
      </w:r>
      <w:r w:rsidR="009106E0">
        <w:rPr>
          <w:rFonts w:cs="Arial"/>
          <w:color w:val="000000"/>
        </w:rPr>
        <w:t xml:space="preserve">et. </w:t>
      </w:r>
      <w:r w:rsidR="008C1D13">
        <w:rPr>
          <w:rFonts w:cs="Arial"/>
          <w:color w:val="000000"/>
        </w:rPr>
        <w:t xml:space="preserve">Beispielsweise aus Belarus, China, Pakistan, Nigeria, Ghana, der Türkei etc. </w:t>
      </w:r>
    </w:p>
    <w:p w:rsidR="008C1D13" w:rsidRDefault="008C1D13" w:rsidP="008C1D13">
      <w:pPr>
        <w:autoSpaceDE w:val="0"/>
        <w:autoSpaceDN w:val="0"/>
        <w:adjustRightInd w:val="0"/>
        <w:rPr>
          <w:rFonts w:cs="Arial"/>
          <w:color w:val="000000"/>
        </w:rPr>
      </w:pPr>
    </w:p>
    <w:p w:rsidR="00CD3B3E" w:rsidRDefault="008C1D13" w:rsidP="00456272">
      <w:pPr>
        <w:autoSpaceDE w:val="0"/>
        <w:autoSpaceDN w:val="0"/>
        <w:adjustRightInd w:val="0"/>
        <w:rPr>
          <w:rFonts w:cs="Arial"/>
        </w:rPr>
      </w:pPr>
      <w:r>
        <w:rPr>
          <w:rFonts w:cs="Arial"/>
          <w:color w:val="000000"/>
        </w:rPr>
        <w:t>Die Ratsuchenden aus der Ukraine haben überwiegend Fragen bezüglich der Wohnungssuche und Anmeldung des Wohnsitzes und der Beantragung einer Aufenthaltserlaubnis nach § 24 AufenthG. Eine häufige Anfrage bezieht sich auf die aufenthaltsrechtlichen Regelungen der Fiktionsbescheinigung (z.</w:t>
      </w:r>
      <w:r w:rsidR="00B17159">
        <w:rPr>
          <w:rFonts w:cs="Arial"/>
          <w:color w:val="000000"/>
        </w:rPr>
        <w:t xml:space="preserve"> </w:t>
      </w:r>
      <w:r>
        <w:rPr>
          <w:rFonts w:cs="Arial"/>
          <w:color w:val="000000"/>
        </w:rPr>
        <w:t>B. Ein- und Ausreise). Des Weiteren geht es um Fragen zur Beantragung von Sozialleistungen nach dem AsylbLG und nach dem SGB II. Das Welcome Center beantwortet auch eine große Anzahl von Anfragen über die sprachliche Integration und Anerkennung von schulischen und beruflichen Abschlüssen. Hinzu kommen Fragen zur Anmeldung der Kinder in Kindergarten und Schule.</w:t>
      </w:r>
      <w:r w:rsidR="00456272">
        <w:rPr>
          <w:rFonts w:cs="Arial"/>
          <w:color w:val="000000"/>
        </w:rPr>
        <w:t xml:space="preserve"> </w:t>
      </w:r>
      <w:r w:rsidR="00CD3B3E" w:rsidRPr="00456272">
        <w:rPr>
          <w:rFonts w:cs="Arial"/>
        </w:rPr>
        <w:t>Das Welcome Center unterstützt seit Beginn der Ukraine-Krise die städtischen Maßnahmen und Initiativen bspw. das Team und Hotline Ukraine engagiert, Arrival Ukraine, das Ehrenamtsteam Servicetelefon der Ausländerbehörde, angesiedelt im Welcome Center Stuttgart.</w:t>
      </w:r>
    </w:p>
    <w:p w:rsidR="00456272" w:rsidRPr="00456272" w:rsidRDefault="00456272" w:rsidP="00456272">
      <w:pPr>
        <w:autoSpaceDE w:val="0"/>
        <w:autoSpaceDN w:val="0"/>
        <w:adjustRightInd w:val="0"/>
        <w:rPr>
          <w:rFonts w:cs="Arial"/>
        </w:rPr>
      </w:pPr>
    </w:p>
    <w:p w:rsidR="004A0D98" w:rsidRDefault="004A0D98" w:rsidP="004A0D98">
      <w:r>
        <w:t>Da der Krieg gegen die Ukraine aktuell weiter anhält, sind weiterhin Ressourcen für die o.</w:t>
      </w:r>
      <w:r w:rsidR="00B17159">
        <w:t xml:space="preserve"> </w:t>
      </w:r>
      <w:r>
        <w:t>g. Aufgabenerfüllung gebunden. Durch die Verlängerung der Ermächtigungen wird die Handlungsfähigkeit während der andauernden Krise gesichert.</w:t>
      </w:r>
    </w:p>
    <w:p w:rsidR="00DE362D" w:rsidRDefault="00DE362D" w:rsidP="00884D6C"/>
    <w:sectPr w:rsidR="00DE362D" w:rsidSect="00456272">
      <w:headerReference w:type="default" r:id="rId7"/>
      <w:pgSz w:w="11907" w:h="16840" w:code="9"/>
      <w:pgMar w:top="1418" w:right="1134" w:bottom="426"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FB0" w:rsidRDefault="004B2FB0">
      <w:r>
        <w:separator/>
      </w:r>
    </w:p>
  </w:endnote>
  <w:endnote w:type="continuationSeparator" w:id="0">
    <w:p w:rsidR="004B2FB0" w:rsidRDefault="004B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FB0" w:rsidRDefault="004B2FB0">
      <w:r>
        <w:separator/>
      </w:r>
    </w:p>
  </w:footnote>
  <w:footnote w:type="continuationSeparator" w:id="0">
    <w:p w:rsidR="004B2FB0" w:rsidRDefault="004B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640F2">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B575CF8"/>
    <w:multiLevelType w:val="hybridMultilevel"/>
    <w:tmpl w:val="0712B3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B0"/>
    <w:rsid w:val="00027944"/>
    <w:rsid w:val="00055758"/>
    <w:rsid w:val="00075854"/>
    <w:rsid w:val="000A1146"/>
    <w:rsid w:val="001034AF"/>
    <w:rsid w:val="0011112B"/>
    <w:rsid w:val="0014415D"/>
    <w:rsid w:val="00151488"/>
    <w:rsid w:val="00163034"/>
    <w:rsid w:val="00164678"/>
    <w:rsid w:val="00165C0D"/>
    <w:rsid w:val="00181857"/>
    <w:rsid w:val="00184EDC"/>
    <w:rsid w:val="00194770"/>
    <w:rsid w:val="001A5F9B"/>
    <w:rsid w:val="001F7237"/>
    <w:rsid w:val="00203C49"/>
    <w:rsid w:val="00216780"/>
    <w:rsid w:val="002300E6"/>
    <w:rsid w:val="002924CB"/>
    <w:rsid w:val="002A20D1"/>
    <w:rsid w:val="002A4DE3"/>
    <w:rsid w:val="002B5955"/>
    <w:rsid w:val="0030686C"/>
    <w:rsid w:val="00353E9B"/>
    <w:rsid w:val="00380937"/>
    <w:rsid w:val="00397717"/>
    <w:rsid w:val="003A1621"/>
    <w:rsid w:val="003C3422"/>
    <w:rsid w:val="003D7B0B"/>
    <w:rsid w:val="003F0FAA"/>
    <w:rsid w:val="00404478"/>
    <w:rsid w:val="0041707F"/>
    <w:rsid w:val="00452BE5"/>
    <w:rsid w:val="00456272"/>
    <w:rsid w:val="00470135"/>
    <w:rsid w:val="0047606A"/>
    <w:rsid w:val="004908B5"/>
    <w:rsid w:val="0049121B"/>
    <w:rsid w:val="004A0D98"/>
    <w:rsid w:val="004A1688"/>
    <w:rsid w:val="004B2FB0"/>
    <w:rsid w:val="004B6796"/>
    <w:rsid w:val="005A0A9D"/>
    <w:rsid w:val="005A16FC"/>
    <w:rsid w:val="005A56AA"/>
    <w:rsid w:val="005E19C6"/>
    <w:rsid w:val="005F5B3D"/>
    <w:rsid w:val="006032E8"/>
    <w:rsid w:val="00606F80"/>
    <w:rsid w:val="00615B72"/>
    <w:rsid w:val="00622CC7"/>
    <w:rsid w:val="006640F2"/>
    <w:rsid w:val="0067477D"/>
    <w:rsid w:val="006A406B"/>
    <w:rsid w:val="006B6D50"/>
    <w:rsid w:val="006C6EE5"/>
    <w:rsid w:val="006E0575"/>
    <w:rsid w:val="006E4566"/>
    <w:rsid w:val="0072799A"/>
    <w:rsid w:val="00731E96"/>
    <w:rsid w:val="00754659"/>
    <w:rsid w:val="00763FF4"/>
    <w:rsid w:val="007E3B79"/>
    <w:rsid w:val="007F4867"/>
    <w:rsid w:val="008066EE"/>
    <w:rsid w:val="00817BB6"/>
    <w:rsid w:val="00884D6C"/>
    <w:rsid w:val="00895235"/>
    <w:rsid w:val="008C1D13"/>
    <w:rsid w:val="008D0AB7"/>
    <w:rsid w:val="008D26A7"/>
    <w:rsid w:val="009106E0"/>
    <w:rsid w:val="00920F00"/>
    <w:rsid w:val="009373F6"/>
    <w:rsid w:val="00976588"/>
    <w:rsid w:val="00A047E8"/>
    <w:rsid w:val="00A27CA7"/>
    <w:rsid w:val="00A45B30"/>
    <w:rsid w:val="00A71D0A"/>
    <w:rsid w:val="00A77F1E"/>
    <w:rsid w:val="00A847C4"/>
    <w:rsid w:val="00AB389D"/>
    <w:rsid w:val="00AE7B02"/>
    <w:rsid w:val="00AF0DEA"/>
    <w:rsid w:val="00AF25E0"/>
    <w:rsid w:val="00B04290"/>
    <w:rsid w:val="00B17159"/>
    <w:rsid w:val="00B34413"/>
    <w:rsid w:val="00B77127"/>
    <w:rsid w:val="00B80DEF"/>
    <w:rsid w:val="00B86BB5"/>
    <w:rsid w:val="00B90454"/>
    <w:rsid w:val="00B91903"/>
    <w:rsid w:val="00BC4669"/>
    <w:rsid w:val="00C16EF1"/>
    <w:rsid w:val="00C448D3"/>
    <w:rsid w:val="00CA1801"/>
    <w:rsid w:val="00CD3B3E"/>
    <w:rsid w:val="00CF62E5"/>
    <w:rsid w:val="00D35D69"/>
    <w:rsid w:val="00D66D3A"/>
    <w:rsid w:val="00D743D4"/>
    <w:rsid w:val="00DB3D6C"/>
    <w:rsid w:val="00DE09E3"/>
    <w:rsid w:val="00DE362D"/>
    <w:rsid w:val="00DF24F2"/>
    <w:rsid w:val="00E014B6"/>
    <w:rsid w:val="00E1162F"/>
    <w:rsid w:val="00E11D5F"/>
    <w:rsid w:val="00E20E1F"/>
    <w:rsid w:val="00E42F96"/>
    <w:rsid w:val="00E642D7"/>
    <w:rsid w:val="00E7118F"/>
    <w:rsid w:val="00E87485"/>
    <w:rsid w:val="00F27657"/>
    <w:rsid w:val="00F342DC"/>
    <w:rsid w:val="00F416EB"/>
    <w:rsid w:val="00F56F93"/>
    <w:rsid w:val="00F63041"/>
    <w:rsid w:val="00F76452"/>
    <w:rsid w:val="00FD6B46"/>
    <w:rsid w:val="00FF4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5FE82"/>
  <w15:docId w15:val="{C955BE9A-3D9E-4E43-BDE7-795301D0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8D26A7"/>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si012\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1</Pages>
  <Words>299</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Özbabacan, Ayse</dc:creator>
  <cp:lastModifiedBy>Baumann, Gerhard</cp:lastModifiedBy>
  <cp:revision>7</cp:revision>
  <cp:lastPrinted>2023-10-30T10:05:00Z</cp:lastPrinted>
  <dcterms:created xsi:type="dcterms:W3CDTF">2023-09-18T08:38:00Z</dcterms:created>
  <dcterms:modified xsi:type="dcterms:W3CDTF">2023-10-30T10:05:00Z</dcterms:modified>
</cp:coreProperties>
</file>