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D06544">
        <w:t>52</w:t>
      </w:r>
      <w:r w:rsidRPr="006E0575">
        <w:t xml:space="preserve"> zur GRDrs</w:t>
      </w:r>
      <w:r w:rsidR="002C6D3A">
        <w:t>.</w:t>
      </w:r>
      <w:r w:rsidRPr="006E0575">
        <w:t xml:space="preserve"> </w:t>
      </w:r>
      <w:r w:rsidR="002C6D3A">
        <w:t>823</w:t>
      </w:r>
      <w:r w:rsidR="00891246">
        <w:t>/20</w:t>
      </w:r>
      <w:r w:rsidR="00C37BE4">
        <w:t>22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EA4EF7" w:rsidRPr="00796600">
        <w:t>eines Stellenvermerks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85492D">
        <w:t>4</w:t>
      </w:r>
    </w:p>
    <w:p w:rsidR="003D7B0B" w:rsidRDefault="003D7B0B" w:rsidP="006E0575"/>
    <w:p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DA0467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3538CA" w:rsidRPr="006E0575" w:rsidTr="00DA0467">
        <w:tc>
          <w:tcPr>
            <w:tcW w:w="1814" w:type="dxa"/>
          </w:tcPr>
          <w:p w:rsidR="003538CA" w:rsidRDefault="00D06544" w:rsidP="0035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500.0260.</w:t>
            </w:r>
            <w:r w:rsidR="003538CA" w:rsidRPr="00DA0467">
              <w:rPr>
                <w:sz w:val="20"/>
              </w:rPr>
              <w:t>252</w:t>
            </w:r>
          </w:p>
        </w:tc>
        <w:tc>
          <w:tcPr>
            <w:tcW w:w="1701" w:type="dxa"/>
          </w:tcPr>
          <w:p w:rsidR="003538CA" w:rsidRDefault="002C6D3A" w:rsidP="003538CA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794" w:type="dxa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3538CA" w:rsidRDefault="003538CA" w:rsidP="003538CA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737" w:type="dxa"/>
            <w:shd w:val="pct12" w:color="auto" w:fill="FFFFFF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134" w:type="dxa"/>
          </w:tcPr>
          <w:p w:rsidR="003538CA" w:rsidRDefault="002C6D3A" w:rsidP="003538CA">
            <w:r>
              <w:rPr>
                <w:sz w:val="20"/>
              </w:rPr>
              <w:t xml:space="preserve">KW </w:t>
            </w:r>
            <w:r w:rsidR="003538CA" w:rsidRPr="008D2299">
              <w:rPr>
                <w:sz w:val="20"/>
              </w:rPr>
              <w:t>01/2024</w:t>
            </w:r>
          </w:p>
        </w:tc>
        <w:tc>
          <w:tcPr>
            <w:tcW w:w="1417" w:type="dxa"/>
          </w:tcPr>
          <w:p w:rsidR="003538CA" w:rsidRDefault="003538CA" w:rsidP="003538CA">
            <w:pPr>
              <w:rPr>
                <w:sz w:val="20"/>
              </w:rPr>
            </w:pPr>
          </w:p>
        </w:tc>
      </w:tr>
      <w:tr w:rsidR="003538CA" w:rsidRPr="006E0575" w:rsidTr="00DA0467">
        <w:tc>
          <w:tcPr>
            <w:tcW w:w="1814" w:type="dxa"/>
          </w:tcPr>
          <w:p w:rsidR="003538CA" w:rsidRDefault="00D06544" w:rsidP="0035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500.0270.</w:t>
            </w:r>
            <w:r w:rsidR="003538CA" w:rsidRPr="00DA0467">
              <w:rPr>
                <w:sz w:val="20"/>
              </w:rPr>
              <w:t>104</w:t>
            </w:r>
          </w:p>
        </w:tc>
        <w:tc>
          <w:tcPr>
            <w:tcW w:w="1701" w:type="dxa"/>
          </w:tcPr>
          <w:p w:rsidR="003538CA" w:rsidRDefault="003538CA" w:rsidP="003538C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3538CA" w:rsidRDefault="003538CA" w:rsidP="003538CA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737" w:type="dxa"/>
            <w:shd w:val="pct12" w:color="auto" w:fill="FFFFFF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3538CA" w:rsidRDefault="002C6D3A" w:rsidP="003538CA">
            <w:r>
              <w:rPr>
                <w:sz w:val="20"/>
              </w:rPr>
              <w:t xml:space="preserve">KW </w:t>
            </w:r>
            <w:r w:rsidR="003538CA" w:rsidRPr="008D2299">
              <w:rPr>
                <w:sz w:val="20"/>
              </w:rPr>
              <w:t>01/2024</w:t>
            </w:r>
          </w:p>
        </w:tc>
        <w:tc>
          <w:tcPr>
            <w:tcW w:w="1417" w:type="dxa"/>
          </w:tcPr>
          <w:p w:rsidR="003538CA" w:rsidRDefault="003538CA" w:rsidP="003538CA">
            <w:pPr>
              <w:rPr>
                <w:sz w:val="20"/>
              </w:rPr>
            </w:pPr>
          </w:p>
        </w:tc>
      </w:tr>
      <w:tr w:rsidR="003538CA" w:rsidRPr="006E0575" w:rsidTr="00DA0467">
        <w:tc>
          <w:tcPr>
            <w:tcW w:w="1814" w:type="dxa"/>
          </w:tcPr>
          <w:p w:rsidR="003538CA" w:rsidRDefault="00D06544" w:rsidP="0035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500.0270.</w:t>
            </w:r>
            <w:r w:rsidR="003538CA" w:rsidRPr="00DA0467">
              <w:rPr>
                <w:sz w:val="20"/>
              </w:rPr>
              <w:t>110</w:t>
            </w:r>
          </w:p>
        </w:tc>
        <w:tc>
          <w:tcPr>
            <w:tcW w:w="1701" w:type="dxa"/>
          </w:tcPr>
          <w:p w:rsidR="003538CA" w:rsidRDefault="003538CA" w:rsidP="003538C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3538CA" w:rsidRDefault="003538CA" w:rsidP="003538CA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737" w:type="dxa"/>
            <w:shd w:val="pct12" w:color="auto" w:fill="FFFFFF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3538CA" w:rsidRDefault="002C6D3A" w:rsidP="003538CA">
            <w:r>
              <w:rPr>
                <w:sz w:val="20"/>
              </w:rPr>
              <w:t xml:space="preserve">KW </w:t>
            </w:r>
            <w:r w:rsidR="003538CA" w:rsidRPr="008D2299">
              <w:rPr>
                <w:sz w:val="20"/>
              </w:rPr>
              <w:t>01/2024</w:t>
            </w:r>
          </w:p>
        </w:tc>
        <w:tc>
          <w:tcPr>
            <w:tcW w:w="1417" w:type="dxa"/>
          </w:tcPr>
          <w:p w:rsidR="003538CA" w:rsidRDefault="003538CA" w:rsidP="003538CA">
            <w:pPr>
              <w:rPr>
                <w:sz w:val="20"/>
              </w:rPr>
            </w:pPr>
          </w:p>
        </w:tc>
      </w:tr>
      <w:tr w:rsidR="003538CA" w:rsidRPr="006E0575" w:rsidTr="00DA0467">
        <w:tc>
          <w:tcPr>
            <w:tcW w:w="1814" w:type="dxa"/>
          </w:tcPr>
          <w:p w:rsidR="003538CA" w:rsidRDefault="00D06544" w:rsidP="0035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500.0270.</w:t>
            </w:r>
            <w:r w:rsidR="003538CA" w:rsidRPr="00DA0467">
              <w:rPr>
                <w:sz w:val="20"/>
              </w:rPr>
              <w:t>111</w:t>
            </w:r>
          </w:p>
        </w:tc>
        <w:tc>
          <w:tcPr>
            <w:tcW w:w="1701" w:type="dxa"/>
          </w:tcPr>
          <w:p w:rsidR="003538CA" w:rsidRDefault="003538CA" w:rsidP="003538C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3538CA" w:rsidRDefault="003538CA" w:rsidP="003538CA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737" w:type="dxa"/>
            <w:shd w:val="pct12" w:color="auto" w:fill="FFFFFF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3538CA" w:rsidRDefault="002C6D3A" w:rsidP="003538CA">
            <w:r>
              <w:rPr>
                <w:sz w:val="20"/>
              </w:rPr>
              <w:t xml:space="preserve">KW </w:t>
            </w:r>
            <w:r w:rsidR="003538CA" w:rsidRPr="008D2299">
              <w:rPr>
                <w:sz w:val="20"/>
              </w:rPr>
              <w:t>01/2024</w:t>
            </w:r>
          </w:p>
        </w:tc>
        <w:tc>
          <w:tcPr>
            <w:tcW w:w="1417" w:type="dxa"/>
          </w:tcPr>
          <w:p w:rsidR="003538CA" w:rsidRDefault="003538CA" w:rsidP="003538CA">
            <w:pPr>
              <w:rPr>
                <w:sz w:val="20"/>
              </w:rPr>
            </w:pPr>
          </w:p>
        </w:tc>
      </w:tr>
      <w:tr w:rsidR="003538CA" w:rsidRPr="006E0575" w:rsidTr="00DA0467">
        <w:tc>
          <w:tcPr>
            <w:tcW w:w="1814" w:type="dxa"/>
          </w:tcPr>
          <w:p w:rsidR="003538CA" w:rsidRDefault="00D06544" w:rsidP="002C6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500.0270.</w:t>
            </w:r>
            <w:r w:rsidR="003538CA" w:rsidRPr="00DA0467">
              <w:rPr>
                <w:sz w:val="20"/>
              </w:rPr>
              <w:t>112</w:t>
            </w:r>
          </w:p>
        </w:tc>
        <w:tc>
          <w:tcPr>
            <w:tcW w:w="1701" w:type="dxa"/>
          </w:tcPr>
          <w:p w:rsidR="003538CA" w:rsidRDefault="003538CA" w:rsidP="003538C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3538CA" w:rsidRDefault="003538CA" w:rsidP="003538CA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737" w:type="dxa"/>
            <w:shd w:val="pct12" w:color="auto" w:fill="FFFFFF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3538CA" w:rsidRDefault="002C6D3A" w:rsidP="003538CA">
            <w:r>
              <w:rPr>
                <w:sz w:val="20"/>
              </w:rPr>
              <w:t xml:space="preserve">KW </w:t>
            </w:r>
            <w:r w:rsidR="003538CA" w:rsidRPr="008D2299">
              <w:rPr>
                <w:sz w:val="20"/>
              </w:rPr>
              <w:t>01/2024</w:t>
            </w:r>
          </w:p>
        </w:tc>
        <w:tc>
          <w:tcPr>
            <w:tcW w:w="1417" w:type="dxa"/>
          </w:tcPr>
          <w:p w:rsidR="003538CA" w:rsidRDefault="003538CA" w:rsidP="003538CA">
            <w:pPr>
              <w:rPr>
                <w:sz w:val="20"/>
              </w:rPr>
            </w:pPr>
          </w:p>
        </w:tc>
      </w:tr>
      <w:tr w:rsidR="003538CA" w:rsidRPr="006E0575" w:rsidTr="00DA0467">
        <w:tc>
          <w:tcPr>
            <w:tcW w:w="1814" w:type="dxa"/>
          </w:tcPr>
          <w:p w:rsidR="003538CA" w:rsidRDefault="00D06544" w:rsidP="0035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500.0270.</w:t>
            </w:r>
            <w:r w:rsidR="003538CA" w:rsidRPr="00DA0467">
              <w:rPr>
                <w:sz w:val="20"/>
              </w:rPr>
              <w:t>113</w:t>
            </w:r>
          </w:p>
        </w:tc>
        <w:tc>
          <w:tcPr>
            <w:tcW w:w="1701" w:type="dxa"/>
          </w:tcPr>
          <w:p w:rsidR="003538CA" w:rsidRDefault="003538CA" w:rsidP="003538C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3538CA" w:rsidRDefault="003538CA" w:rsidP="003538CA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737" w:type="dxa"/>
            <w:shd w:val="pct12" w:color="auto" w:fill="FFFFFF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3538CA" w:rsidRDefault="002C6D3A" w:rsidP="003538CA">
            <w:r>
              <w:rPr>
                <w:sz w:val="20"/>
              </w:rPr>
              <w:t xml:space="preserve">KW </w:t>
            </w:r>
            <w:r w:rsidR="003538CA" w:rsidRPr="008D2299">
              <w:rPr>
                <w:sz w:val="20"/>
              </w:rPr>
              <w:t>01/2024</w:t>
            </w:r>
          </w:p>
        </w:tc>
        <w:tc>
          <w:tcPr>
            <w:tcW w:w="1417" w:type="dxa"/>
          </w:tcPr>
          <w:p w:rsidR="003538CA" w:rsidRDefault="003538CA" w:rsidP="003538CA">
            <w:pPr>
              <w:rPr>
                <w:sz w:val="20"/>
              </w:rPr>
            </w:pPr>
          </w:p>
        </w:tc>
      </w:tr>
      <w:tr w:rsidR="003538CA" w:rsidRPr="006E0575" w:rsidTr="00DA0467">
        <w:tc>
          <w:tcPr>
            <w:tcW w:w="1814" w:type="dxa"/>
          </w:tcPr>
          <w:p w:rsidR="003538CA" w:rsidRDefault="00D06544" w:rsidP="0035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500.0270.</w:t>
            </w:r>
            <w:r w:rsidR="003538CA" w:rsidRPr="00DA0467">
              <w:rPr>
                <w:sz w:val="20"/>
              </w:rPr>
              <w:t>114</w:t>
            </w:r>
          </w:p>
        </w:tc>
        <w:tc>
          <w:tcPr>
            <w:tcW w:w="1701" w:type="dxa"/>
          </w:tcPr>
          <w:p w:rsidR="003538CA" w:rsidRDefault="003538CA" w:rsidP="003538C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3538CA" w:rsidRDefault="003538CA" w:rsidP="003538CA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737" w:type="dxa"/>
            <w:shd w:val="pct12" w:color="auto" w:fill="FFFFFF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3538CA" w:rsidRDefault="002C6D3A" w:rsidP="003538CA">
            <w:r>
              <w:rPr>
                <w:sz w:val="20"/>
              </w:rPr>
              <w:t xml:space="preserve">KW </w:t>
            </w:r>
            <w:r w:rsidR="003538CA" w:rsidRPr="008D2299">
              <w:rPr>
                <w:sz w:val="20"/>
              </w:rPr>
              <w:t>01/2024</w:t>
            </w:r>
          </w:p>
        </w:tc>
        <w:tc>
          <w:tcPr>
            <w:tcW w:w="1417" w:type="dxa"/>
          </w:tcPr>
          <w:p w:rsidR="003538CA" w:rsidRDefault="003538CA" w:rsidP="003538CA">
            <w:pPr>
              <w:rPr>
                <w:sz w:val="20"/>
              </w:rPr>
            </w:pPr>
          </w:p>
        </w:tc>
      </w:tr>
      <w:tr w:rsidR="003538CA" w:rsidRPr="006E0575" w:rsidTr="00DA0467">
        <w:tc>
          <w:tcPr>
            <w:tcW w:w="1814" w:type="dxa"/>
          </w:tcPr>
          <w:p w:rsidR="003538CA" w:rsidRDefault="00D06544" w:rsidP="0035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500.0271.</w:t>
            </w:r>
            <w:r w:rsidR="003538CA" w:rsidRPr="00DA0467">
              <w:rPr>
                <w:sz w:val="20"/>
              </w:rPr>
              <w:t>106</w:t>
            </w:r>
          </w:p>
        </w:tc>
        <w:tc>
          <w:tcPr>
            <w:tcW w:w="1701" w:type="dxa"/>
          </w:tcPr>
          <w:p w:rsidR="003538CA" w:rsidRDefault="003538CA" w:rsidP="003538C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3538CA" w:rsidRDefault="003538CA" w:rsidP="003538CA">
            <w:pPr>
              <w:rPr>
                <w:sz w:val="20"/>
              </w:rPr>
            </w:pPr>
            <w:r w:rsidRPr="00DA0467">
              <w:rPr>
                <w:sz w:val="20"/>
              </w:rPr>
              <w:t>Sachbearbeiter/in</w:t>
            </w:r>
          </w:p>
        </w:tc>
        <w:tc>
          <w:tcPr>
            <w:tcW w:w="737" w:type="dxa"/>
            <w:shd w:val="pct12" w:color="auto" w:fill="FFFFFF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134" w:type="dxa"/>
          </w:tcPr>
          <w:p w:rsidR="003538CA" w:rsidRDefault="002C6D3A" w:rsidP="003538CA">
            <w:r>
              <w:rPr>
                <w:sz w:val="20"/>
              </w:rPr>
              <w:t xml:space="preserve">KW </w:t>
            </w:r>
            <w:r w:rsidR="003538CA" w:rsidRPr="008D2299">
              <w:rPr>
                <w:sz w:val="20"/>
              </w:rPr>
              <w:t>01/2024</w:t>
            </w:r>
          </w:p>
        </w:tc>
        <w:tc>
          <w:tcPr>
            <w:tcW w:w="1417" w:type="dxa"/>
          </w:tcPr>
          <w:p w:rsidR="003538CA" w:rsidRDefault="003538CA" w:rsidP="003538CA">
            <w:pPr>
              <w:rPr>
                <w:sz w:val="20"/>
              </w:rPr>
            </w:pPr>
          </w:p>
        </w:tc>
      </w:tr>
      <w:tr w:rsidR="003538CA" w:rsidRPr="006E0575" w:rsidTr="00DA0467">
        <w:tc>
          <w:tcPr>
            <w:tcW w:w="1814" w:type="dxa"/>
          </w:tcPr>
          <w:p w:rsidR="003538CA" w:rsidRDefault="00D06544" w:rsidP="0035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500.0270.</w:t>
            </w:r>
            <w:r w:rsidR="003538CA" w:rsidRPr="00DA0467">
              <w:rPr>
                <w:sz w:val="20"/>
              </w:rPr>
              <w:t>003</w:t>
            </w:r>
          </w:p>
        </w:tc>
        <w:tc>
          <w:tcPr>
            <w:tcW w:w="1701" w:type="dxa"/>
          </w:tcPr>
          <w:p w:rsidR="003538CA" w:rsidRDefault="003538CA" w:rsidP="003538C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3538CA" w:rsidRDefault="003538CA" w:rsidP="003538CA">
            <w:pPr>
              <w:rPr>
                <w:sz w:val="20"/>
              </w:rPr>
            </w:pPr>
            <w:r w:rsidRPr="00DA0467">
              <w:rPr>
                <w:sz w:val="20"/>
              </w:rPr>
              <w:t>Sachgebietsleiter/-in</w:t>
            </w:r>
          </w:p>
        </w:tc>
        <w:tc>
          <w:tcPr>
            <w:tcW w:w="737" w:type="dxa"/>
            <w:shd w:val="pct12" w:color="auto" w:fill="FFFFFF"/>
          </w:tcPr>
          <w:p w:rsidR="003538CA" w:rsidRDefault="003538CA" w:rsidP="003538CA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3538CA" w:rsidRDefault="002C6D3A" w:rsidP="003538CA">
            <w:r>
              <w:rPr>
                <w:sz w:val="20"/>
              </w:rPr>
              <w:t xml:space="preserve">KW </w:t>
            </w:r>
            <w:r w:rsidR="003538CA" w:rsidRPr="008D2299">
              <w:rPr>
                <w:sz w:val="20"/>
              </w:rPr>
              <w:t>01/2024</w:t>
            </w:r>
          </w:p>
        </w:tc>
        <w:tc>
          <w:tcPr>
            <w:tcW w:w="1417" w:type="dxa"/>
          </w:tcPr>
          <w:p w:rsidR="003538CA" w:rsidRDefault="003538CA" w:rsidP="003538CA">
            <w:pPr>
              <w:rPr>
                <w:sz w:val="20"/>
              </w:rPr>
            </w:pPr>
          </w:p>
        </w:tc>
      </w:tr>
      <w:tr w:rsidR="002C6D3A" w:rsidRPr="006E0575" w:rsidTr="00DA0467">
        <w:tc>
          <w:tcPr>
            <w:tcW w:w="1814" w:type="dxa"/>
          </w:tcPr>
          <w:p w:rsidR="002C6D3A" w:rsidRPr="00DA0467" w:rsidRDefault="002C6D3A" w:rsidP="0035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5020 50</w:t>
            </w:r>
            <w:bookmarkStart w:id="0" w:name="_GoBack"/>
            <w:bookmarkEnd w:id="0"/>
            <w:r>
              <w:rPr>
                <w:sz w:val="20"/>
              </w:rPr>
              <w:t>70</w:t>
            </w:r>
          </w:p>
        </w:tc>
        <w:tc>
          <w:tcPr>
            <w:tcW w:w="1701" w:type="dxa"/>
          </w:tcPr>
          <w:p w:rsidR="002C6D3A" w:rsidRDefault="002C6D3A" w:rsidP="003538C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2C6D3A" w:rsidRDefault="002C6D3A" w:rsidP="003538CA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2C6D3A" w:rsidRPr="00DA0467" w:rsidRDefault="002C6D3A" w:rsidP="003538CA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2C6D3A" w:rsidRDefault="002C6D3A" w:rsidP="003538C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C6D3A" w:rsidRPr="008D2299" w:rsidRDefault="002C6D3A" w:rsidP="003538CA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C6D3A" w:rsidRDefault="002C6D3A" w:rsidP="003538CA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3D7B0B" w:rsidRDefault="00167112" w:rsidP="00694161">
      <w:r>
        <w:t>Mit GRDrs</w:t>
      </w:r>
      <w:r w:rsidR="002C6D3A">
        <w:t xml:space="preserve">. 987/2019 </w:t>
      </w:r>
      <w:r>
        <w:t>wurden</w:t>
      </w:r>
      <w:r w:rsidR="00326F00">
        <w:t>, basierend auf dem Stellenschlüssel 1:80</w:t>
      </w:r>
      <w:r>
        <w:t xml:space="preserve"> </w:t>
      </w:r>
      <w:r w:rsidR="00326F00">
        <w:t>(GRDrs</w:t>
      </w:r>
      <w:r w:rsidR="002C6D3A">
        <w:t>.</w:t>
      </w:r>
      <w:r w:rsidR="00326F00">
        <w:t xml:space="preserve"> 591/2014) </w:t>
      </w:r>
      <w:r w:rsidR="008B03F9">
        <w:t xml:space="preserve">die Streichung von </w:t>
      </w:r>
      <w:r>
        <w:t xml:space="preserve">2,30 Stellen zum Stellenplan 2020 sowie der Wegfall von kw-Vermerken an 0,50 Stellen, </w:t>
      </w:r>
      <w:r w:rsidR="008B03F9">
        <w:t xml:space="preserve">die </w:t>
      </w:r>
      <w:r>
        <w:t xml:space="preserve">Verlängerung von kw-Vermerken auf 01/2022 an 6,90 Stellen und </w:t>
      </w:r>
      <w:r w:rsidR="008B03F9">
        <w:t xml:space="preserve">das </w:t>
      </w:r>
      <w:r>
        <w:t xml:space="preserve">Anbringen eines neuen kw-Vermerks 01/2022 </w:t>
      </w:r>
      <w:r w:rsidR="002C6D3A">
        <w:t>an 1,00 Stelle</w:t>
      </w:r>
      <w:r>
        <w:t xml:space="preserve"> im Bereich Gewährung von Leistungen nach dem Asylbewerberleistungsgesetz</w:t>
      </w:r>
      <w:r w:rsidR="00551721">
        <w:t xml:space="preserve"> </w:t>
      </w:r>
      <w:r w:rsidR="00145B9E">
        <w:t xml:space="preserve">(AsylbLG) </w:t>
      </w:r>
      <w:r w:rsidR="00551721">
        <w:t>vom Gemeinderat</w:t>
      </w:r>
      <w:r>
        <w:t xml:space="preserve"> beschlossen.</w:t>
      </w:r>
    </w:p>
    <w:p w:rsidR="007C6053" w:rsidRDefault="007C6053" w:rsidP="00694161"/>
    <w:p w:rsidR="007C6053" w:rsidRDefault="007C6053" w:rsidP="00694161">
      <w:r>
        <w:t>Mit GRDrs</w:t>
      </w:r>
      <w:r w:rsidR="002C6D3A">
        <w:t>.</w:t>
      </w:r>
      <w:r>
        <w:t xml:space="preserve"> </w:t>
      </w:r>
      <w:r w:rsidR="006329CB">
        <w:t>1330/</w:t>
      </w:r>
      <w:r w:rsidR="00B3752B">
        <w:t>2021</w:t>
      </w:r>
      <w:r>
        <w:t xml:space="preserve"> wurden </w:t>
      </w:r>
      <w:r w:rsidR="0000613F">
        <w:t xml:space="preserve">im Bereich Gewährung von Leistungen nach dem </w:t>
      </w:r>
      <w:r w:rsidR="00145B9E">
        <w:t>AsylbLG</w:t>
      </w:r>
      <w:r w:rsidR="0000613F">
        <w:t xml:space="preserve"> </w:t>
      </w:r>
      <w:r>
        <w:t>die Verlängerung der bestehenden KW-Vermerke auf 01/2</w:t>
      </w:r>
      <w:r w:rsidR="006329CB">
        <w:t>024 vom Gemeinderat beschlossen.</w:t>
      </w:r>
    </w:p>
    <w:p w:rsidR="00167112" w:rsidRDefault="00167112" w:rsidP="00694161"/>
    <w:p w:rsidR="004C2412" w:rsidRDefault="000574A0" w:rsidP="004C2412">
      <w:r>
        <w:t>Entgegen der in GRDrs</w:t>
      </w:r>
      <w:r w:rsidR="002C6D3A">
        <w:t>.</w:t>
      </w:r>
      <w:r>
        <w:t xml:space="preserve"> 987/2019 </w:t>
      </w:r>
      <w:r w:rsidR="007C6053">
        <w:t xml:space="preserve">und </w:t>
      </w:r>
      <w:r w:rsidR="00264652">
        <w:t xml:space="preserve">in </w:t>
      </w:r>
      <w:r w:rsidR="007C6053">
        <w:t>GRDrs</w:t>
      </w:r>
      <w:r w:rsidR="002C6D3A">
        <w:t>.</w:t>
      </w:r>
      <w:r w:rsidR="007C6053">
        <w:t xml:space="preserve"> </w:t>
      </w:r>
      <w:r w:rsidR="006329CB">
        <w:t>1330</w:t>
      </w:r>
      <w:r w:rsidR="00B3752B">
        <w:t>/2021</w:t>
      </w:r>
      <w:r w:rsidR="007C6053">
        <w:t xml:space="preserve"> </w:t>
      </w:r>
      <w:r>
        <w:t xml:space="preserve">zugrunde gelegten Annahme, dass die Fallzahlen rückläufig sind, </w:t>
      </w:r>
      <w:r w:rsidRPr="00EA4EF7">
        <w:t>haben die Fallzahlen im Jahr 202</w:t>
      </w:r>
      <w:r w:rsidR="007C6053" w:rsidRPr="00EA4EF7">
        <w:t>2</w:t>
      </w:r>
      <w:r w:rsidRPr="00EA4EF7">
        <w:t xml:space="preserve"> zugenommen</w:t>
      </w:r>
      <w:r w:rsidR="004C2412" w:rsidRPr="00EA4EF7">
        <w:t>.</w:t>
      </w:r>
      <w:r>
        <w:t xml:space="preserve"> </w:t>
      </w:r>
      <w:r w:rsidR="004C2412">
        <w:t>Aufgrund dieser Entwicklung wurde das Sozialamt zunächst mit GRDrs</w:t>
      </w:r>
      <w:r w:rsidR="002C6D3A">
        <w:t>.</w:t>
      </w:r>
      <w:r w:rsidR="004C2412">
        <w:t xml:space="preserve"> 239/2022 zusätzlich ermächtigt 1,0 Vollzeitkräfte (VZK) befristet bis 31.12.2023 zu beschäftigen. Mit GRDrs</w:t>
      </w:r>
      <w:r w:rsidR="002C6D3A">
        <w:t>.</w:t>
      </w:r>
      <w:r w:rsidR="004C2412">
        <w:t xml:space="preserve"> 630/2022 erfolgte eine weitere Ermächtigung bis 31.12.2023 für die Beschäftigung von 9,99 VZK.</w:t>
      </w:r>
    </w:p>
    <w:p w:rsidR="004C2412" w:rsidRDefault="004C2412" w:rsidP="004C2412">
      <w:r>
        <w:lastRenderedPageBreak/>
        <w:t xml:space="preserve"> </w:t>
      </w:r>
    </w:p>
    <w:p w:rsidR="00EA4EF7" w:rsidRDefault="00A021F3" w:rsidP="00694161">
      <w:pPr>
        <w:rPr>
          <w:rFonts w:cs="Arial"/>
        </w:rPr>
      </w:pPr>
      <w:r>
        <w:t>Dies begründet sich darin, dass mi</w:t>
      </w:r>
      <w:r w:rsidRPr="00E22957">
        <w:rPr>
          <w:noProof/>
        </w:rPr>
        <w:t>t dem Krieg in der Ukraine Anfang März 2022 tageweise hunderte ukrainische Geflüchtete in Stuttgart an</w:t>
      </w:r>
      <w:r>
        <w:rPr>
          <w:noProof/>
        </w:rPr>
        <w:t>kamen</w:t>
      </w:r>
      <w:r w:rsidRPr="00E22957">
        <w:rPr>
          <w:noProof/>
        </w:rPr>
        <w:t xml:space="preserve">. Mit dem </w:t>
      </w:r>
      <w:r w:rsidRPr="00E22957">
        <w:rPr>
          <w:rFonts w:cs="Arial"/>
        </w:rPr>
        <w:t xml:space="preserve">Rechtskreiswechsel der </w:t>
      </w:r>
      <w:r w:rsidR="0007009D">
        <w:rPr>
          <w:rFonts w:cs="Arial"/>
        </w:rPr>
        <w:t xml:space="preserve">ukrainischen </w:t>
      </w:r>
      <w:r w:rsidRPr="00E22957">
        <w:rPr>
          <w:rFonts w:cs="Arial"/>
        </w:rPr>
        <w:t xml:space="preserve">Geflüchteten aus dem </w:t>
      </w:r>
      <w:r w:rsidR="00145B9E">
        <w:rPr>
          <w:rFonts w:cs="Arial"/>
        </w:rPr>
        <w:t>AsylbLG</w:t>
      </w:r>
      <w:r w:rsidRPr="00E22957">
        <w:rPr>
          <w:rFonts w:cs="Arial"/>
        </w:rPr>
        <w:t xml:space="preserve"> in das </w:t>
      </w:r>
      <w:r w:rsidR="00145B9E">
        <w:rPr>
          <w:rFonts w:cs="Arial"/>
        </w:rPr>
        <w:t>Sozialgesetzbuch Zweites Buch (</w:t>
      </w:r>
      <w:r w:rsidRPr="00E22957">
        <w:rPr>
          <w:rFonts w:cs="Arial"/>
        </w:rPr>
        <w:t>SGB II</w:t>
      </w:r>
      <w:r w:rsidR="00145B9E">
        <w:rPr>
          <w:rFonts w:cs="Arial"/>
        </w:rPr>
        <w:t>)</w:t>
      </w:r>
      <w:r w:rsidRPr="00E22957">
        <w:rPr>
          <w:rFonts w:cs="Arial"/>
        </w:rPr>
        <w:t xml:space="preserve"> oder </w:t>
      </w:r>
      <w:r w:rsidR="00145B9E">
        <w:rPr>
          <w:rFonts w:cs="Arial"/>
        </w:rPr>
        <w:t>Sozialgesetzbuch Zwölftes Buch (</w:t>
      </w:r>
      <w:r w:rsidRPr="00E22957">
        <w:rPr>
          <w:rFonts w:cs="Arial"/>
        </w:rPr>
        <w:t>SGB XII</w:t>
      </w:r>
      <w:r w:rsidR="00145B9E">
        <w:rPr>
          <w:rFonts w:cs="Arial"/>
        </w:rPr>
        <w:t>)</w:t>
      </w:r>
      <w:r w:rsidRPr="00E22957">
        <w:rPr>
          <w:noProof/>
        </w:rPr>
        <w:t xml:space="preserve"> ab dem 01.06.2022 hat sich die Anzahl der leistungsberechtigten Personen nach dem </w:t>
      </w:r>
      <w:r w:rsidR="00145B9E" w:rsidRPr="00E22957">
        <w:rPr>
          <w:rFonts w:cs="Arial"/>
        </w:rPr>
        <w:t>Asylb</w:t>
      </w:r>
      <w:r w:rsidR="00145B9E">
        <w:rPr>
          <w:rFonts w:cs="Arial"/>
        </w:rPr>
        <w:t>LG</w:t>
      </w:r>
      <w:r w:rsidRPr="00E22957">
        <w:rPr>
          <w:noProof/>
        </w:rPr>
        <w:t xml:space="preserve"> reduziert.</w:t>
      </w:r>
      <w:r w:rsidRPr="00E22957">
        <w:rPr>
          <w:rFonts w:cs="Arial"/>
        </w:rPr>
        <w:t xml:space="preserve"> Aufgrund des hohen Zustromes geflüchtete</w:t>
      </w:r>
      <w:r>
        <w:rPr>
          <w:rFonts w:cs="Arial"/>
        </w:rPr>
        <w:t>r</w:t>
      </w:r>
      <w:r w:rsidRPr="00E22957">
        <w:rPr>
          <w:rFonts w:cs="Arial"/>
        </w:rPr>
        <w:t xml:space="preserve"> Menschen aus der Ukraine nach Stuttgart verblieben dennoch Geflüchtete zunächst im AsylbLG und wechselten nach und nach in den Rechtskreis des SGB II oder SGB XII. </w:t>
      </w:r>
      <w:r>
        <w:rPr>
          <w:rFonts w:cs="Arial"/>
        </w:rPr>
        <w:t>Zudem haben n</w:t>
      </w:r>
      <w:r w:rsidRPr="00E22957">
        <w:rPr>
          <w:rFonts w:cs="Arial"/>
        </w:rPr>
        <w:t>eu ankommende ukrainischen Geflüchtete weiterhin zunächst Anspruch auf Leistungen nach dem AsylbLG</w:t>
      </w:r>
      <w:r>
        <w:rPr>
          <w:rFonts w:cs="Arial"/>
        </w:rPr>
        <w:t xml:space="preserve"> bevor sie in einen anderen Rechtskreis wechseln.</w:t>
      </w:r>
      <w:r w:rsidRPr="009E43BA">
        <w:rPr>
          <w:rFonts w:cs="Arial"/>
          <w:color w:val="FF0000"/>
          <w:sz w:val="20"/>
          <w:szCs w:val="20"/>
        </w:rPr>
        <w:t xml:space="preserve"> </w:t>
      </w:r>
      <w:r w:rsidR="00CD684A">
        <w:rPr>
          <w:rFonts w:cs="Arial"/>
        </w:rPr>
        <w:t>Insgesamt nimmt die</w:t>
      </w:r>
      <w:r w:rsidR="00CD684A" w:rsidRPr="009E43BA">
        <w:rPr>
          <w:rFonts w:cs="Arial"/>
        </w:rPr>
        <w:t xml:space="preserve"> Zahl der in Stuttgart ankommenden Flüchtlinge </w:t>
      </w:r>
      <w:r w:rsidR="00CD684A">
        <w:rPr>
          <w:rFonts w:cs="Arial"/>
        </w:rPr>
        <w:t xml:space="preserve">(insbesondere Asylsuchende, </w:t>
      </w:r>
      <w:r w:rsidR="00CD684A" w:rsidRPr="0036468B">
        <w:rPr>
          <w:rFonts w:cs="Arial"/>
        </w:rPr>
        <w:t>Erst- und</w:t>
      </w:r>
      <w:r w:rsidR="00CD684A">
        <w:rPr>
          <w:rFonts w:cs="Arial"/>
        </w:rPr>
        <w:t xml:space="preserve"> Folgeantragsteller) </w:t>
      </w:r>
      <w:r w:rsidR="00CD684A" w:rsidRPr="009E43BA">
        <w:rPr>
          <w:rFonts w:cs="Arial"/>
        </w:rPr>
        <w:t>seit Ende des Jahr</w:t>
      </w:r>
      <w:r w:rsidR="00343B05">
        <w:rPr>
          <w:rFonts w:cs="Arial"/>
        </w:rPr>
        <w:t>e</w:t>
      </w:r>
      <w:r w:rsidR="00CD684A" w:rsidRPr="009E43BA">
        <w:rPr>
          <w:rFonts w:cs="Arial"/>
        </w:rPr>
        <w:t xml:space="preserve">s 2022 </w:t>
      </w:r>
      <w:r w:rsidR="00EA4EF7">
        <w:rPr>
          <w:rFonts w:cs="Arial"/>
        </w:rPr>
        <w:t xml:space="preserve">und </w:t>
      </w:r>
      <w:r w:rsidR="00343B05">
        <w:rPr>
          <w:rFonts w:cs="Arial"/>
        </w:rPr>
        <w:t>im Laufe</w:t>
      </w:r>
      <w:r w:rsidR="00EA4EF7">
        <w:rPr>
          <w:rFonts w:cs="Arial"/>
        </w:rPr>
        <w:t xml:space="preserve"> </w:t>
      </w:r>
      <w:r w:rsidR="00343B05">
        <w:rPr>
          <w:rFonts w:cs="Arial"/>
        </w:rPr>
        <w:t>des Jahres</w:t>
      </w:r>
      <w:r w:rsidR="00EA4EF7">
        <w:rPr>
          <w:rFonts w:cs="Arial"/>
        </w:rPr>
        <w:t xml:space="preserve"> 2023 </w:t>
      </w:r>
      <w:r w:rsidR="00CD684A" w:rsidRPr="009E43BA">
        <w:rPr>
          <w:rFonts w:cs="Arial"/>
        </w:rPr>
        <w:t xml:space="preserve">wieder zu. </w:t>
      </w:r>
    </w:p>
    <w:p w:rsidR="00EA4EF7" w:rsidRPr="001D3917" w:rsidRDefault="00EA4EF7" w:rsidP="00694161">
      <w:pPr>
        <w:rPr>
          <w:rFonts w:cs="Arial"/>
          <w:sz w:val="28"/>
        </w:rPr>
      </w:pPr>
    </w:p>
    <w:p w:rsidR="00EA4EF7" w:rsidRPr="001D3917" w:rsidRDefault="00EA4EF7" w:rsidP="00EA4EF7">
      <w:pPr>
        <w:rPr>
          <w:color w:val="FF0000"/>
          <w:szCs w:val="22"/>
        </w:rPr>
      </w:pPr>
      <w:r w:rsidRPr="001D3917">
        <w:rPr>
          <w:szCs w:val="22"/>
        </w:rPr>
        <w:t>Daher wird dem Wegfall des jeweiligen KW-Vermerks der o.g. Stellen zugestimmt.</w:t>
      </w:r>
    </w:p>
    <w:p w:rsidR="00494AC3" w:rsidRDefault="00494AC3" w:rsidP="00694161">
      <w:pPr>
        <w:rPr>
          <w:rFonts w:cs="Arial"/>
        </w:rPr>
      </w:pPr>
    </w:p>
    <w:p w:rsidR="004C2412" w:rsidRDefault="004C2412" w:rsidP="00694161">
      <w:pPr>
        <w:rPr>
          <w:rFonts w:cs="Arial"/>
        </w:rPr>
      </w:pPr>
    </w:p>
    <w:p w:rsidR="004C2412" w:rsidRDefault="004C2412" w:rsidP="00694161">
      <w:pPr>
        <w:rPr>
          <w:rFonts w:cs="Arial"/>
        </w:rPr>
      </w:pPr>
    </w:p>
    <w:p w:rsidR="004C2412" w:rsidRDefault="004C2412" w:rsidP="00694161"/>
    <w:p w:rsidR="000574A0" w:rsidRDefault="000574A0" w:rsidP="00694161"/>
    <w:p w:rsidR="00AF1316" w:rsidRDefault="00AF1316" w:rsidP="000574A0"/>
    <w:p w:rsidR="00AF1316" w:rsidRDefault="00AF1316" w:rsidP="000574A0"/>
    <w:p w:rsidR="000574A0" w:rsidRDefault="000574A0" w:rsidP="00694161"/>
    <w:p w:rsidR="000574A0" w:rsidRPr="00EF5B90" w:rsidRDefault="000574A0"/>
    <w:sectPr w:rsidR="000574A0" w:rsidRPr="00EF5B90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C2" w:rsidRDefault="00535BC2">
      <w:r>
        <w:separator/>
      </w:r>
    </w:p>
  </w:endnote>
  <w:endnote w:type="continuationSeparator" w:id="0">
    <w:p w:rsidR="00535BC2" w:rsidRDefault="0053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C2" w:rsidRDefault="00535BC2">
      <w:r>
        <w:separator/>
      </w:r>
    </w:p>
  </w:footnote>
  <w:footnote w:type="continuationSeparator" w:id="0">
    <w:p w:rsidR="00535BC2" w:rsidRDefault="0053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D06544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85228DF"/>
    <w:multiLevelType w:val="hybridMultilevel"/>
    <w:tmpl w:val="D5C686EC"/>
    <w:lvl w:ilvl="0" w:tplc="B00E9934">
      <w:start w:val="13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C"/>
    <w:rsid w:val="0000613F"/>
    <w:rsid w:val="000574A0"/>
    <w:rsid w:val="00066F1B"/>
    <w:rsid w:val="0007009D"/>
    <w:rsid w:val="000902EC"/>
    <w:rsid w:val="000A1146"/>
    <w:rsid w:val="001058DD"/>
    <w:rsid w:val="00145B9E"/>
    <w:rsid w:val="00165C0D"/>
    <w:rsid w:val="00167112"/>
    <w:rsid w:val="00180FEA"/>
    <w:rsid w:val="00181857"/>
    <w:rsid w:val="001D3917"/>
    <w:rsid w:val="001F5D9F"/>
    <w:rsid w:val="002058C2"/>
    <w:rsid w:val="00213C7A"/>
    <w:rsid w:val="00213F18"/>
    <w:rsid w:val="00264652"/>
    <w:rsid w:val="002812E4"/>
    <w:rsid w:val="002924CB"/>
    <w:rsid w:val="002A664A"/>
    <w:rsid w:val="002B6783"/>
    <w:rsid w:val="002C2BCF"/>
    <w:rsid w:val="002C6D3A"/>
    <w:rsid w:val="003237BB"/>
    <w:rsid w:val="00326F00"/>
    <w:rsid w:val="00343B05"/>
    <w:rsid w:val="003538CA"/>
    <w:rsid w:val="00361333"/>
    <w:rsid w:val="003A7A41"/>
    <w:rsid w:val="003D5196"/>
    <w:rsid w:val="003D7B0B"/>
    <w:rsid w:val="003F20FE"/>
    <w:rsid w:val="00406723"/>
    <w:rsid w:val="00465367"/>
    <w:rsid w:val="004920E9"/>
    <w:rsid w:val="00494AC3"/>
    <w:rsid w:val="004B6796"/>
    <w:rsid w:val="004C2412"/>
    <w:rsid w:val="004D7D8B"/>
    <w:rsid w:val="004D7F89"/>
    <w:rsid w:val="00535BC2"/>
    <w:rsid w:val="00537E08"/>
    <w:rsid w:val="00551721"/>
    <w:rsid w:val="005778E9"/>
    <w:rsid w:val="005E7511"/>
    <w:rsid w:val="005E7A74"/>
    <w:rsid w:val="0060281A"/>
    <w:rsid w:val="006329CB"/>
    <w:rsid w:val="006546BA"/>
    <w:rsid w:val="00683256"/>
    <w:rsid w:val="00694161"/>
    <w:rsid w:val="006B7B06"/>
    <w:rsid w:val="006C1AC2"/>
    <w:rsid w:val="006E0575"/>
    <w:rsid w:val="00701699"/>
    <w:rsid w:val="00746A71"/>
    <w:rsid w:val="00767369"/>
    <w:rsid w:val="00796600"/>
    <w:rsid w:val="007A412C"/>
    <w:rsid w:val="007B5FE2"/>
    <w:rsid w:val="007C6053"/>
    <w:rsid w:val="007E6D54"/>
    <w:rsid w:val="0083052F"/>
    <w:rsid w:val="00840569"/>
    <w:rsid w:val="00852422"/>
    <w:rsid w:val="0085492D"/>
    <w:rsid w:val="00863A1D"/>
    <w:rsid w:val="00884D6C"/>
    <w:rsid w:val="00891246"/>
    <w:rsid w:val="00893E55"/>
    <w:rsid w:val="008A1899"/>
    <w:rsid w:val="008B03F9"/>
    <w:rsid w:val="00980B4C"/>
    <w:rsid w:val="00984AC4"/>
    <w:rsid w:val="00995EBD"/>
    <w:rsid w:val="009B0FBE"/>
    <w:rsid w:val="009E43BA"/>
    <w:rsid w:val="00A021F3"/>
    <w:rsid w:val="00A206E5"/>
    <w:rsid w:val="00A34898"/>
    <w:rsid w:val="00A715B5"/>
    <w:rsid w:val="00A77F1E"/>
    <w:rsid w:val="00A8778F"/>
    <w:rsid w:val="00AB0D1F"/>
    <w:rsid w:val="00AD3A46"/>
    <w:rsid w:val="00AF120D"/>
    <w:rsid w:val="00AF1316"/>
    <w:rsid w:val="00B04290"/>
    <w:rsid w:val="00B238D8"/>
    <w:rsid w:val="00B24D9A"/>
    <w:rsid w:val="00B3752B"/>
    <w:rsid w:val="00B62782"/>
    <w:rsid w:val="00B80DEF"/>
    <w:rsid w:val="00C04B16"/>
    <w:rsid w:val="00C30C79"/>
    <w:rsid w:val="00C37BE4"/>
    <w:rsid w:val="00C42332"/>
    <w:rsid w:val="00C448D3"/>
    <w:rsid w:val="00C74B3A"/>
    <w:rsid w:val="00CD0B27"/>
    <w:rsid w:val="00CD684A"/>
    <w:rsid w:val="00CE7D5B"/>
    <w:rsid w:val="00D06544"/>
    <w:rsid w:val="00D15184"/>
    <w:rsid w:val="00D24277"/>
    <w:rsid w:val="00D41CF7"/>
    <w:rsid w:val="00D544BF"/>
    <w:rsid w:val="00DA0467"/>
    <w:rsid w:val="00DA24CD"/>
    <w:rsid w:val="00DA701E"/>
    <w:rsid w:val="00DE32BA"/>
    <w:rsid w:val="00DF268B"/>
    <w:rsid w:val="00DF3470"/>
    <w:rsid w:val="00E01F89"/>
    <w:rsid w:val="00E1162F"/>
    <w:rsid w:val="00E11D5F"/>
    <w:rsid w:val="00E37194"/>
    <w:rsid w:val="00E917F3"/>
    <w:rsid w:val="00EA4EF7"/>
    <w:rsid w:val="00EC591E"/>
    <w:rsid w:val="00ED5FA4"/>
    <w:rsid w:val="00EF5B90"/>
    <w:rsid w:val="00F00C79"/>
    <w:rsid w:val="00F132FA"/>
    <w:rsid w:val="00F27657"/>
    <w:rsid w:val="00F27BB8"/>
    <w:rsid w:val="00F646EE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DF6F0"/>
  <w15:docId w15:val="{D110FFCB-3BC3-46D4-A71E-B4FAAF3D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06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4BC4-689C-41AB-8DE3-83AD92C8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2022/2023</dc:subject>
  <dc:creator>Bachmeier, Lisa</dc:creator>
  <dc:description/>
  <cp:lastModifiedBy>Baumann, Gerhard</cp:lastModifiedBy>
  <cp:revision>6</cp:revision>
  <cp:lastPrinted>2023-10-06T09:41:00Z</cp:lastPrinted>
  <dcterms:created xsi:type="dcterms:W3CDTF">2023-08-24T14:42:00Z</dcterms:created>
  <dcterms:modified xsi:type="dcterms:W3CDTF">2023-10-06T09:41:00Z</dcterms:modified>
</cp:coreProperties>
</file>