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90276" w14:textId="3FAC7086" w:rsidR="003D7B0B" w:rsidRPr="006E0575" w:rsidRDefault="003D7B0B" w:rsidP="00397717">
      <w:pPr>
        <w:jc w:val="right"/>
      </w:pPr>
      <w:r w:rsidRPr="006E0575">
        <w:t xml:space="preserve">Anlage </w:t>
      </w:r>
      <w:r w:rsidR="00ED71FD">
        <w:t>5</w:t>
      </w:r>
      <w:r w:rsidRPr="006E0575">
        <w:t xml:space="preserve"> zur GRDrs</w:t>
      </w:r>
      <w:r w:rsidR="003F5C9E">
        <w:t>.</w:t>
      </w:r>
      <w:r w:rsidRPr="006E0575">
        <w:t xml:space="preserve"> </w:t>
      </w:r>
      <w:r w:rsidR="003F5C9E">
        <w:t>823</w:t>
      </w:r>
      <w:r w:rsidR="005F5B3D">
        <w:t>/20</w:t>
      </w:r>
      <w:r w:rsidR="00AE7B02">
        <w:t>2</w:t>
      </w:r>
      <w:r w:rsidR="00026253">
        <w:t>3</w:t>
      </w:r>
    </w:p>
    <w:p w14:paraId="5C9F0D83" w14:textId="77777777" w:rsidR="003D7B0B" w:rsidRPr="006E0575" w:rsidRDefault="003D7B0B" w:rsidP="006E0575"/>
    <w:p w14:paraId="5CD62FDB" w14:textId="77777777"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14:paraId="1FF6D986" w14:textId="54269AB7"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5F6D4C">
        <w:rPr>
          <w:b/>
          <w:sz w:val="36"/>
          <w:szCs w:val="36"/>
          <w:u w:val="single"/>
        </w:rPr>
        <w:t>4</w:t>
      </w:r>
    </w:p>
    <w:p w14:paraId="5C03B1E9" w14:textId="77777777" w:rsidR="003D7B0B" w:rsidRDefault="003D7B0B" w:rsidP="006E0575">
      <w:pPr>
        <w:rPr>
          <w:u w:val="single"/>
        </w:rPr>
      </w:pPr>
    </w:p>
    <w:p w14:paraId="14CD1562" w14:textId="77777777" w:rsidR="00DE362D" w:rsidRPr="00E42F96" w:rsidRDefault="00DE362D" w:rsidP="006E0575">
      <w:pPr>
        <w:rPr>
          <w:u w:val="single"/>
        </w:rPr>
      </w:pPr>
    </w:p>
    <w:tbl>
      <w:tblPr>
        <w:tblW w:w="952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923"/>
        <w:gridCol w:w="850"/>
        <w:gridCol w:w="913"/>
        <w:gridCol w:w="1588"/>
      </w:tblGrid>
      <w:tr w:rsidR="005F5B3D" w:rsidRPr="006E0575" w14:paraId="558C52C5" w14:textId="77777777" w:rsidTr="003F5C9E">
        <w:trPr>
          <w:tblHeader/>
        </w:trPr>
        <w:tc>
          <w:tcPr>
            <w:tcW w:w="1701" w:type="dxa"/>
            <w:shd w:val="pct12" w:color="auto" w:fill="FFFFFF"/>
          </w:tcPr>
          <w:p w14:paraId="1ABA0CFF" w14:textId="77777777"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14:paraId="6E91558C" w14:textId="77777777"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14:paraId="588BBD91" w14:textId="77777777"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14:paraId="03F43820" w14:textId="77777777"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14:paraId="4B19CBF0" w14:textId="77777777"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14:paraId="37B18563" w14:textId="77777777"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3" w:type="dxa"/>
            <w:shd w:val="pct12" w:color="auto" w:fill="FFFFFF"/>
          </w:tcPr>
          <w:p w14:paraId="30570095" w14:textId="77777777"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0" w:type="dxa"/>
            <w:shd w:val="pct12" w:color="auto" w:fill="FFFFFF"/>
          </w:tcPr>
          <w:p w14:paraId="14BE10E6" w14:textId="77777777"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913" w:type="dxa"/>
            <w:shd w:val="pct12" w:color="auto" w:fill="FFFFFF"/>
          </w:tcPr>
          <w:p w14:paraId="5A9B06F1" w14:textId="77777777"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14:paraId="08663F05" w14:textId="77777777"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14:paraId="70411AD9" w14:textId="77777777" w:rsidTr="003F5C9E">
        <w:tc>
          <w:tcPr>
            <w:tcW w:w="1701" w:type="dxa"/>
          </w:tcPr>
          <w:p w14:paraId="03503300" w14:textId="506F13AD" w:rsidR="005F5B3D" w:rsidRDefault="005F5B3D" w:rsidP="0030686C">
            <w:pPr>
              <w:rPr>
                <w:sz w:val="20"/>
              </w:rPr>
            </w:pPr>
          </w:p>
          <w:p w14:paraId="36C13BE6" w14:textId="5C6B53B2" w:rsidR="007154E7" w:rsidRDefault="007154E7" w:rsidP="0030686C">
            <w:pPr>
              <w:rPr>
                <w:sz w:val="20"/>
              </w:rPr>
            </w:pPr>
            <w:r>
              <w:rPr>
                <w:sz w:val="20"/>
              </w:rPr>
              <w:t>29-1</w:t>
            </w:r>
            <w:r w:rsidR="00E15ABB">
              <w:rPr>
                <w:sz w:val="20"/>
              </w:rPr>
              <w:t xml:space="preserve"> </w:t>
            </w:r>
          </w:p>
          <w:p w14:paraId="2DF77B97" w14:textId="2F38AD19" w:rsidR="0011112B" w:rsidRDefault="00F53408" w:rsidP="0030686C">
            <w:pPr>
              <w:rPr>
                <w:sz w:val="20"/>
              </w:rPr>
            </w:pPr>
            <w:r>
              <w:rPr>
                <w:sz w:val="20"/>
              </w:rPr>
              <w:t>29-3</w:t>
            </w:r>
          </w:p>
          <w:p w14:paraId="7255D88D" w14:textId="77777777" w:rsidR="000F1508" w:rsidRDefault="000F1508" w:rsidP="0030686C">
            <w:pPr>
              <w:rPr>
                <w:sz w:val="20"/>
              </w:rPr>
            </w:pPr>
          </w:p>
          <w:p w14:paraId="09ED658E" w14:textId="2C556E1A" w:rsidR="004226CD" w:rsidRDefault="004226CD" w:rsidP="0030686C">
            <w:pPr>
              <w:rPr>
                <w:sz w:val="20"/>
              </w:rPr>
            </w:pPr>
            <w:r>
              <w:rPr>
                <w:sz w:val="20"/>
              </w:rPr>
              <w:t>2910</w:t>
            </w:r>
            <w:r w:rsidR="003F5C9E">
              <w:rPr>
                <w:sz w:val="20"/>
              </w:rPr>
              <w:t xml:space="preserve"> </w:t>
            </w:r>
            <w:r>
              <w:rPr>
                <w:sz w:val="20"/>
              </w:rPr>
              <w:t>5912</w:t>
            </w:r>
          </w:p>
          <w:p w14:paraId="38BB0F9D" w14:textId="646DA300" w:rsidR="00BF36BA" w:rsidRDefault="004226CD" w:rsidP="0030686C">
            <w:pPr>
              <w:rPr>
                <w:sz w:val="20"/>
              </w:rPr>
            </w:pPr>
            <w:r>
              <w:rPr>
                <w:sz w:val="20"/>
              </w:rPr>
              <w:t>2910</w:t>
            </w:r>
            <w:r w:rsidR="003F5C9E">
              <w:rPr>
                <w:sz w:val="20"/>
              </w:rPr>
              <w:t xml:space="preserve"> </w:t>
            </w:r>
            <w:r>
              <w:rPr>
                <w:sz w:val="20"/>
              </w:rPr>
              <w:t>5932</w:t>
            </w:r>
          </w:p>
          <w:p w14:paraId="0237D56D" w14:textId="7CB3629C" w:rsidR="006C477D" w:rsidRPr="006E0575" w:rsidRDefault="006C477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33036761" w14:textId="77777777" w:rsidR="005F5B3D" w:rsidRDefault="005F5B3D" w:rsidP="0030686C">
            <w:pPr>
              <w:rPr>
                <w:sz w:val="20"/>
              </w:rPr>
            </w:pPr>
          </w:p>
          <w:p w14:paraId="24A1B13C" w14:textId="34615C8D" w:rsidR="005F5B3D" w:rsidRPr="006E0575" w:rsidRDefault="007154E7" w:rsidP="0030686C">
            <w:pPr>
              <w:rPr>
                <w:sz w:val="20"/>
              </w:rPr>
            </w:pPr>
            <w:r>
              <w:rPr>
                <w:sz w:val="20"/>
              </w:rPr>
              <w:t>Jobcenter</w:t>
            </w:r>
          </w:p>
        </w:tc>
        <w:tc>
          <w:tcPr>
            <w:tcW w:w="851" w:type="dxa"/>
          </w:tcPr>
          <w:p w14:paraId="6A190FBB" w14:textId="77777777" w:rsidR="005F5B3D" w:rsidRDefault="005F5B3D" w:rsidP="0030686C">
            <w:pPr>
              <w:rPr>
                <w:sz w:val="20"/>
              </w:rPr>
            </w:pPr>
          </w:p>
          <w:p w14:paraId="5E7D56F8" w14:textId="77777777" w:rsidR="007154E7" w:rsidRDefault="007154E7" w:rsidP="007154E7">
            <w:pPr>
              <w:rPr>
                <w:sz w:val="20"/>
              </w:rPr>
            </w:pPr>
            <w:r>
              <w:rPr>
                <w:sz w:val="20"/>
              </w:rPr>
              <w:t>EG 10</w:t>
            </w:r>
          </w:p>
          <w:p w14:paraId="097E405D" w14:textId="77777777" w:rsidR="005F5B3D" w:rsidRDefault="007154E7" w:rsidP="007154E7">
            <w:pPr>
              <w:rPr>
                <w:sz w:val="20"/>
              </w:rPr>
            </w:pPr>
            <w:r>
              <w:rPr>
                <w:sz w:val="20"/>
              </w:rPr>
              <w:t>EG 11</w:t>
            </w:r>
          </w:p>
          <w:p w14:paraId="4B77E236" w14:textId="77777777" w:rsidR="007154E7" w:rsidRDefault="007154E7" w:rsidP="007154E7">
            <w:pPr>
              <w:rPr>
                <w:sz w:val="20"/>
              </w:rPr>
            </w:pPr>
            <w:r>
              <w:rPr>
                <w:sz w:val="20"/>
              </w:rPr>
              <w:t>EG 10</w:t>
            </w:r>
          </w:p>
          <w:p w14:paraId="512E14D2" w14:textId="77777777" w:rsidR="007154E7" w:rsidRDefault="007154E7" w:rsidP="007154E7">
            <w:pPr>
              <w:rPr>
                <w:sz w:val="20"/>
              </w:rPr>
            </w:pPr>
          </w:p>
          <w:p w14:paraId="6FE1A902" w14:textId="77777777" w:rsidR="007154E7" w:rsidRPr="006E0575" w:rsidRDefault="007154E7" w:rsidP="007154E7">
            <w:pPr>
              <w:rPr>
                <w:sz w:val="20"/>
              </w:rPr>
            </w:pPr>
            <w:r>
              <w:rPr>
                <w:sz w:val="20"/>
              </w:rPr>
              <w:t>EG 10</w:t>
            </w:r>
          </w:p>
        </w:tc>
        <w:tc>
          <w:tcPr>
            <w:tcW w:w="1923" w:type="dxa"/>
          </w:tcPr>
          <w:p w14:paraId="3F1DA112" w14:textId="77777777" w:rsidR="005F5B3D" w:rsidRDefault="005F5B3D" w:rsidP="0030686C">
            <w:pPr>
              <w:rPr>
                <w:sz w:val="20"/>
              </w:rPr>
            </w:pPr>
          </w:p>
          <w:p w14:paraId="6EB90661" w14:textId="63827164" w:rsidR="007154E7" w:rsidRDefault="003F5C9E" w:rsidP="0030686C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  <w:p w14:paraId="4B36A515" w14:textId="4835A324" w:rsidR="005F5B3D" w:rsidRDefault="003F5C9E" w:rsidP="0030686C">
            <w:pPr>
              <w:rPr>
                <w:sz w:val="20"/>
              </w:rPr>
            </w:pPr>
            <w:r>
              <w:rPr>
                <w:sz w:val="20"/>
              </w:rPr>
              <w:t>Teamleiter/-in</w:t>
            </w:r>
          </w:p>
          <w:p w14:paraId="0A67FB90" w14:textId="7210BA46" w:rsidR="007154E7" w:rsidRDefault="003F5C9E" w:rsidP="0030686C">
            <w:pPr>
              <w:rPr>
                <w:sz w:val="20"/>
              </w:rPr>
            </w:pPr>
            <w:r>
              <w:rPr>
                <w:sz w:val="20"/>
              </w:rPr>
              <w:t>Betriebs-</w:t>
            </w:r>
            <w:r>
              <w:rPr>
                <w:sz w:val="20"/>
              </w:rPr>
              <w:br/>
              <w:t>akquisiteur/-in</w:t>
            </w:r>
          </w:p>
          <w:p w14:paraId="522A6A20" w14:textId="2734A06B" w:rsidR="007154E7" w:rsidRPr="006E0575" w:rsidRDefault="003F5C9E" w:rsidP="0030686C">
            <w:pPr>
              <w:rPr>
                <w:sz w:val="20"/>
              </w:rPr>
            </w:pPr>
            <w:r>
              <w:rPr>
                <w:sz w:val="20"/>
              </w:rPr>
              <w:t>Coach</w:t>
            </w:r>
          </w:p>
        </w:tc>
        <w:tc>
          <w:tcPr>
            <w:tcW w:w="850" w:type="dxa"/>
            <w:shd w:val="pct12" w:color="auto" w:fill="FFFFFF"/>
          </w:tcPr>
          <w:p w14:paraId="40362AE9" w14:textId="77777777" w:rsidR="005F5B3D" w:rsidRDefault="005F5B3D" w:rsidP="0030686C">
            <w:pPr>
              <w:rPr>
                <w:sz w:val="20"/>
              </w:rPr>
            </w:pPr>
          </w:p>
          <w:p w14:paraId="79190BF3" w14:textId="0CF9BC2D" w:rsidR="007154E7" w:rsidRDefault="007154E7" w:rsidP="0030686C">
            <w:pPr>
              <w:rPr>
                <w:sz w:val="20"/>
              </w:rPr>
            </w:pPr>
            <w:r>
              <w:rPr>
                <w:sz w:val="20"/>
              </w:rPr>
              <w:t>2,0</w:t>
            </w:r>
            <w:r w:rsidR="004226CD">
              <w:rPr>
                <w:sz w:val="20"/>
              </w:rPr>
              <w:t>0</w:t>
            </w:r>
          </w:p>
          <w:p w14:paraId="50EC6B47" w14:textId="30FC88DA" w:rsidR="005F5B3D" w:rsidRDefault="007154E7" w:rsidP="0030686C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  <w:r w:rsidR="004226CD">
              <w:rPr>
                <w:sz w:val="20"/>
              </w:rPr>
              <w:t>0</w:t>
            </w:r>
          </w:p>
          <w:p w14:paraId="18DC6254" w14:textId="2C4FD48E" w:rsidR="007154E7" w:rsidRDefault="007154E7" w:rsidP="0030686C">
            <w:pPr>
              <w:rPr>
                <w:sz w:val="20"/>
              </w:rPr>
            </w:pPr>
            <w:r>
              <w:rPr>
                <w:sz w:val="20"/>
              </w:rPr>
              <w:t>4,0</w:t>
            </w:r>
            <w:r w:rsidR="004226CD">
              <w:rPr>
                <w:sz w:val="20"/>
              </w:rPr>
              <w:t>0</w:t>
            </w:r>
          </w:p>
          <w:p w14:paraId="59B4FAB2" w14:textId="77777777" w:rsidR="007154E7" w:rsidRDefault="007154E7" w:rsidP="0030686C">
            <w:pPr>
              <w:rPr>
                <w:sz w:val="20"/>
              </w:rPr>
            </w:pPr>
          </w:p>
          <w:p w14:paraId="0F0251C3" w14:textId="1AA8EAAD" w:rsidR="007154E7" w:rsidRPr="006E0575" w:rsidRDefault="007154E7" w:rsidP="0030686C">
            <w:pPr>
              <w:rPr>
                <w:sz w:val="20"/>
              </w:rPr>
            </w:pPr>
            <w:r>
              <w:rPr>
                <w:sz w:val="20"/>
              </w:rPr>
              <w:t>5,0</w:t>
            </w:r>
            <w:r w:rsidR="004226CD">
              <w:rPr>
                <w:sz w:val="20"/>
              </w:rPr>
              <w:t>0</w:t>
            </w:r>
          </w:p>
        </w:tc>
        <w:tc>
          <w:tcPr>
            <w:tcW w:w="913" w:type="dxa"/>
          </w:tcPr>
          <w:p w14:paraId="67076A2C" w14:textId="77777777" w:rsidR="005F5B3D" w:rsidRDefault="005F5B3D" w:rsidP="0030686C">
            <w:pPr>
              <w:rPr>
                <w:sz w:val="20"/>
              </w:rPr>
            </w:pPr>
          </w:p>
          <w:p w14:paraId="22810D00" w14:textId="08DB085D"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588" w:type="dxa"/>
          </w:tcPr>
          <w:p w14:paraId="63E2D330" w14:textId="623C5BD5" w:rsidR="005F5B3D" w:rsidRDefault="00ED71FD" w:rsidP="0030686C">
            <w:pPr>
              <w:rPr>
                <w:sz w:val="20"/>
              </w:rPr>
            </w:pPr>
            <w:r>
              <w:rPr>
                <w:sz w:val="20"/>
              </w:rPr>
              <w:t>hh-neutral (</w:t>
            </w:r>
            <w:r w:rsidR="003F5C9E">
              <w:rPr>
                <w:sz w:val="20"/>
              </w:rPr>
              <w:t>148</w:t>
            </w:r>
            <w:r w:rsidR="004226CD">
              <w:rPr>
                <w:sz w:val="20"/>
              </w:rPr>
              <w:t>.</w:t>
            </w:r>
            <w:r w:rsidR="003F5C9E">
              <w:rPr>
                <w:sz w:val="20"/>
              </w:rPr>
              <w:t>0</w:t>
            </w:r>
            <w:r w:rsidR="004226CD">
              <w:rPr>
                <w:sz w:val="20"/>
              </w:rPr>
              <w:t>00</w:t>
            </w:r>
            <w:r w:rsidR="003F5C9E">
              <w:rPr>
                <w:sz w:val="20"/>
              </w:rPr>
              <w:t xml:space="preserve"> </w:t>
            </w:r>
            <w:r w:rsidR="004226CD">
              <w:rPr>
                <w:sz w:val="20"/>
              </w:rPr>
              <w:t>*)</w:t>
            </w:r>
          </w:p>
          <w:p w14:paraId="350364DA" w14:textId="08E0E440" w:rsidR="004226CD" w:rsidRDefault="003F5C9E" w:rsidP="0030686C">
            <w:pPr>
              <w:rPr>
                <w:sz w:val="20"/>
              </w:rPr>
            </w:pPr>
            <w:r>
              <w:rPr>
                <w:sz w:val="20"/>
              </w:rPr>
              <w:t>40</w:t>
            </w:r>
            <w:r w:rsidR="004226CD">
              <w:rPr>
                <w:sz w:val="20"/>
              </w:rPr>
              <w:t>.</w:t>
            </w:r>
            <w:r>
              <w:rPr>
                <w:sz w:val="20"/>
              </w:rPr>
              <w:t>0</w:t>
            </w:r>
            <w:r w:rsidR="004226CD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  <w:r w:rsidR="004226CD">
              <w:rPr>
                <w:sz w:val="20"/>
              </w:rPr>
              <w:t>*)</w:t>
            </w:r>
          </w:p>
          <w:p w14:paraId="224A1071" w14:textId="4D1EBBFB" w:rsidR="004226CD" w:rsidRDefault="003F5C9E" w:rsidP="0030686C">
            <w:pPr>
              <w:rPr>
                <w:sz w:val="20"/>
              </w:rPr>
            </w:pPr>
            <w:r>
              <w:rPr>
                <w:sz w:val="20"/>
              </w:rPr>
              <w:t>296</w:t>
            </w:r>
            <w:r w:rsidR="004226CD">
              <w:rPr>
                <w:sz w:val="20"/>
              </w:rPr>
              <w:t>.</w:t>
            </w:r>
            <w:r>
              <w:rPr>
                <w:sz w:val="20"/>
              </w:rPr>
              <w:t>0</w:t>
            </w:r>
            <w:r w:rsidR="004226CD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="004226CD">
              <w:rPr>
                <w:sz w:val="20"/>
              </w:rPr>
              <w:t>*)</w:t>
            </w:r>
          </w:p>
          <w:p w14:paraId="6BBE5A46" w14:textId="77777777" w:rsidR="004226CD" w:rsidRDefault="004226CD" w:rsidP="0030686C">
            <w:pPr>
              <w:rPr>
                <w:sz w:val="20"/>
              </w:rPr>
            </w:pPr>
          </w:p>
          <w:p w14:paraId="66EEBFCD" w14:textId="3B5C8FF1" w:rsidR="004226CD" w:rsidRPr="006E0575" w:rsidRDefault="003F5C9E" w:rsidP="0030686C">
            <w:pPr>
              <w:rPr>
                <w:sz w:val="20"/>
              </w:rPr>
            </w:pPr>
            <w:r>
              <w:rPr>
                <w:sz w:val="20"/>
              </w:rPr>
              <w:t>370</w:t>
            </w:r>
            <w:r w:rsidR="004226CD">
              <w:rPr>
                <w:sz w:val="20"/>
              </w:rPr>
              <w:t>.000</w:t>
            </w:r>
            <w:r>
              <w:rPr>
                <w:sz w:val="20"/>
              </w:rPr>
              <w:t xml:space="preserve"> </w:t>
            </w:r>
            <w:r w:rsidR="004226CD">
              <w:rPr>
                <w:sz w:val="20"/>
              </w:rPr>
              <w:t>*)</w:t>
            </w:r>
          </w:p>
        </w:tc>
      </w:tr>
    </w:tbl>
    <w:p w14:paraId="075584EB" w14:textId="690AD21C" w:rsidR="00665CB8" w:rsidRDefault="00BF36BA" w:rsidP="00BF36BA">
      <w:pPr>
        <w:rPr>
          <w:rFonts w:ascii="Helv" w:hAnsi="Helv" w:cs="Helv"/>
          <w:color w:val="000000"/>
          <w:kern w:val="24"/>
          <w:sz w:val="16"/>
          <w:szCs w:val="16"/>
        </w:rPr>
      </w:pPr>
      <w:r w:rsidRPr="008E3E95">
        <w:rPr>
          <w:b/>
          <w:kern w:val="24"/>
          <w:sz w:val="16"/>
          <w:szCs w:val="16"/>
        </w:rPr>
        <w:t>*)</w:t>
      </w:r>
      <w:r>
        <w:rPr>
          <w:rFonts w:ascii="Helv" w:hAnsi="Helv" w:cs="Helv"/>
          <w:color w:val="000000"/>
          <w:kern w:val="24"/>
          <w:sz w:val="20"/>
        </w:rPr>
        <w:t xml:space="preserve"> </w:t>
      </w:r>
      <w:r w:rsidRPr="00E106D0">
        <w:rPr>
          <w:rFonts w:ascii="Helv" w:hAnsi="Helv" w:cs="Helv"/>
          <w:color w:val="000000"/>
          <w:kern w:val="24"/>
          <w:sz w:val="16"/>
          <w:szCs w:val="16"/>
        </w:rPr>
        <w:t>Gemäß Kommunalträger-Abrechnungsverwaltungsvorschrift (</w:t>
      </w:r>
      <w:proofErr w:type="spellStart"/>
      <w:r w:rsidRPr="00E106D0">
        <w:rPr>
          <w:rFonts w:ascii="Helv" w:hAnsi="Helv" w:cs="Helv"/>
          <w:color w:val="000000"/>
          <w:kern w:val="24"/>
          <w:sz w:val="16"/>
          <w:szCs w:val="16"/>
        </w:rPr>
        <w:t>KoA</w:t>
      </w:r>
      <w:proofErr w:type="spellEnd"/>
      <w:r w:rsidRPr="00E106D0">
        <w:rPr>
          <w:rFonts w:ascii="Helv" w:hAnsi="Helv" w:cs="Helv"/>
          <w:color w:val="000000"/>
          <w:kern w:val="24"/>
          <w:sz w:val="16"/>
          <w:szCs w:val="16"/>
        </w:rPr>
        <w:t xml:space="preserve">-VV) erfolgt die Abrechnung der Personalkosten </w:t>
      </w:r>
      <w:proofErr w:type="spellStart"/>
      <w:r w:rsidR="00E15ABB" w:rsidRPr="00306F5F">
        <w:rPr>
          <w:rFonts w:ascii="Helv" w:hAnsi="Helv" w:cs="Helv"/>
          <w:color w:val="000000"/>
          <w:kern w:val="24"/>
          <w:sz w:val="16"/>
          <w:szCs w:val="16"/>
        </w:rPr>
        <w:t>fachspezifi</w:t>
      </w:r>
      <w:proofErr w:type="spellEnd"/>
    </w:p>
    <w:p w14:paraId="2A49A231" w14:textId="77777777" w:rsidR="00665CB8" w:rsidRDefault="00665CB8" w:rsidP="00BF36BA">
      <w:pPr>
        <w:rPr>
          <w:rFonts w:ascii="Helv" w:hAnsi="Helv" w:cs="Helv"/>
          <w:color w:val="000000"/>
          <w:kern w:val="24"/>
          <w:sz w:val="16"/>
          <w:szCs w:val="16"/>
        </w:rPr>
      </w:pPr>
      <w:r>
        <w:rPr>
          <w:rFonts w:ascii="Helv" w:hAnsi="Helv" w:cs="Helv"/>
          <w:color w:val="000000"/>
          <w:kern w:val="24"/>
          <w:sz w:val="16"/>
          <w:szCs w:val="16"/>
        </w:rPr>
        <w:t xml:space="preserve">     </w:t>
      </w:r>
      <w:r w:rsidR="00E15ABB" w:rsidRPr="00306F5F">
        <w:rPr>
          <w:rFonts w:ascii="Helv" w:hAnsi="Helv" w:cs="Helv"/>
          <w:color w:val="000000"/>
          <w:kern w:val="24"/>
          <w:sz w:val="16"/>
          <w:szCs w:val="16"/>
        </w:rPr>
        <w:t>scher</w:t>
      </w:r>
      <w:r w:rsidR="00E15ABB">
        <w:rPr>
          <w:rFonts w:ascii="Helv" w:hAnsi="Helv" w:cs="Helv"/>
          <w:color w:val="000000"/>
          <w:kern w:val="24"/>
          <w:sz w:val="16"/>
          <w:szCs w:val="16"/>
        </w:rPr>
        <w:t xml:space="preserve"> </w:t>
      </w:r>
      <w:r w:rsidR="00BF36BA" w:rsidRPr="00E106D0">
        <w:rPr>
          <w:rFonts w:ascii="Helv" w:hAnsi="Helv" w:cs="Helv"/>
          <w:color w:val="000000"/>
          <w:kern w:val="24"/>
          <w:sz w:val="16"/>
          <w:szCs w:val="16"/>
        </w:rPr>
        <w:t xml:space="preserve">Stellen mit dem Bund spitz, für die Personalneben-, Sach- und Gemeinkosten werden Pauschalen zugrunde gelegt. Der </w:t>
      </w:r>
    </w:p>
    <w:p w14:paraId="40E62ACE" w14:textId="77777777" w:rsidR="00665CB8" w:rsidRDefault="00665CB8" w:rsidP="00BF36BA">
      <w:pPr>
        <w:rPr>
          <w:rFonts w:ascii="Helv" w:hAnsi="Helv" w:cs="Helv"/>
          <w:color w:val="000000"/>
          <w:kern w:val="24"/>
          <w:sz w:val="16"/>
          <w:szCs w:val="16"/>
        </w:rPr>
      </w:pPr>
      <w:r>
        <w:rPr>
          <w:rFonts w:ascii="Helv" w:hAnsi="Helv" w:cs="Helv"/>
          <w:color w:val="000000"/>
          <w:kern w:val="24"/>
          <w:sz w:val="16"/>
          <w:szCs w:val="16"/>
        </w:rPr>
        <w:t xml:space="preserve">     </w:t>
      </w:r>
      <w:r w:rsidR="00BF36BA" w:rsidRPr="00E106D0">
        <w:rPr>
          <w:rFonts w:ascii="Helv" w:hAnsi="Helv" w:cs="Helv"/>
          <w:color w:val="000000"/>
          <w:kern w:val="24"/>
          <w:sz w:val="16"/>
          <w:szCs w:val="16"/>
        </w:rPr>
        <w:t xml:space="preserve">Anteil des Bundes an den Kosten beträgt 84,8 Prozent, der kommunale Finanzierungsanteil (KFA) beträgt 15,2 Prozent. </w:t>
      </w:r>
      <w:proofErr w:type="spellStart"/>
      <w:r w:rsidR="00BF36BA" w:rsidRPr="00E106D0">
        <w:rPr>
          <w:rFonts w:ascii="Helv" w:hAnsi="Helv" w:cs="Helv"/>
          <w:color w:val="000000"/>
          <w:kern w:val="24"/>
          <w:sz w:val="16"/>
          <w:szCs w:val="16"/>
        </w:rPr>
        <w:t>Inklu</w:t>
      </w:r>
      <w:proofErr w:type="spellEnd"/>
    </w:p>
    <w:p w14:paraId="1B331F8C" w14:textId="77777777" w:rsidR="00665CB8" w:rsidRDefault="00665CB8" w:rsidP="00BF36BA">
      <w:pPr>
        <w:rPr>
          <w:rFonts w:ascii="Helv" w:hAnsi="Helv" w:cs="Helv"/>
          <w:color w:val="000000"/>
          <w:kern w:val="24"/>
          <w:sz w:val="16"/>
          <w:szCs w:val="16"/>
        </w:rPr>
      </w:pPr>
      <w:r>
        <w:rPr>
          <w:rFonts w:ascii="Helv" w:hAnsi="Helv" w:cs="Helv"/>
          <w:color w:val="000000"/>
          <w:kern w:val="24"/>
          <w:sz w:val="16"/>
          <w:szCs w:val="16"/>
        </w:rPr>
        <w:t xml:space="preserve">     </w:t>
      </w:r>
      <w:proofErr w:type="spellStart"/>
      <w:r w:rsidR="00BF36BA" w:rsidRPr="00E106D0">
        <w:rPr>
          <w:rFonts w:ascii="Helv" w:hAnsi="Helv" w:cs="Helv"/>
          <w:color w:val="000000"/>
          <w:kern w:val="24"/>
          <w:sz w:val="16"/>
          <w:szCs w:val="16"/>
        </w:rPr>
        <w:t>sive</w:t>
      </w:r>
      <w:proofErr w:type="spellEnd"/>
      <w:r w:rsidR="00BF36BA" w:rsidRPr="00E106D0">
        <w:rPr>
          <w:rFonts w:ascii="Helv" w:hAnsi="Helv" w:cs="Helv"/>
          <w:color w:val="000000"/>
          <w:kern w:val="24"/>
          <w:sz w:val="16"/>
          <w:szCs w:val="16"/>
        </w:rPr>
        <w:t xml:space="preserve"> aller Pauschalen übersteigt die Erstattung des Bundes den kostenwirksamen Aufwand, der bei der LHS für die </w:t>
      </w:r>
      <w:proofErr w:type="spellStart"/>
      <w:r w:rsidR="00E15ABB" w:rsidRPr="00306F5F">
        <w:rPr>
          <w:rFonts w:ascii="Helv" w:hAnsi="Helv" w:cs="Helv"/>
          <w:color w:val="000000"/>
          <w:kern w:val="24"/>
          <w:sz w:val="16"/>
          <w:szCs w:val="16"/>
        </w:rPr>
        <w:t>fachspezifi</w:t>
      </w:r>
      <w:proofErr w:type="spellEnd"/>
    </w:p>
    <w:p w14:paraId="0CAFEEF2" w14:textId="632B71E1" w:rsidR="00BF36BA" w:rsidRPr="00694161" w:rsidRDefault="00665CB8" w:rsidP="00BF36BA">
      <w:r>
        <w:rPr>
          <w:rFonts w:ascii="Helv" w:hAnsi="Helv" w:cs="Helv"/>
          <w:color w:val="000000"/>
          <w:kern w:val="24"/>
          <w:sz w:val="16"/>
          <w:szCs w:val="16"/>
        </w:rPr>
        <w:t xml:space="preserve">     </w:t>
      </w:r>
      <w:proofErr w:type="spellStart"/>
      <w:r w:rsidR="00E15ABB" w:rsidRPr="00306F5F">
        <w:rPr>
          <w:rFonts w:ascii="Helv" w:hAnsi="Helv" w:cs="Helv"/>
          <w:color w:val="000000"/>
          <w:kern w:val="24"/>
          <w:sz w:val="16"/>
          <w:szCs w:val="16"/>
        </w:rPr>
        <w:t>sche</w:t>
      </w:r>
      <w:proofErr w:type="spellEnd"/>
      <w:r w:rsidR="00BF36BA" w:rsidRPr="00306F5F">
        <w:rPr>
          <w:rFonts w:ascii="Helv" w:hAnsi="Helv" w:cs="Helv"/>
          <w:color w:val="000000"/>
          <w:kern w:val="24"/>
          <w:sz w:val="16"/>
          <w:szCs w:val="16"/>
        </w:rPr>
        <w:t>(n)</w:t>
      </w:r>
      <w:r w:rsidR="00BF36BA" w:rsidRPr="00E106D0">
        <w:rPr>
          <w:rFonts w:ascii="Helv" w:hAnsi="Helv" w:cs="Helv"/>
          <w:color w:val="000000"/>
          <w:kern w:val="24"/>
          <w:sz w:val="16"/>
          <w:szCs w:val="16"/>
        </w:rPr>
        <w:t xml:space="preserve"> Stelle(n) entsteht</w:t>
      </w:r>
      <w:r w:rsidR="00BF36BA">
        <w:rPr>
          <w:rFonts w:ascii="Helv" w:hAnsi="Helv" w:cs="Helv"/>
          <w:color w:val="000000"/>
          <w:kern w:val="24"/>
          <w:sz w:val="16"/>
          <w:szCs w:val="16"/>
        </w:rPr>
        <w:t>.</w:t>
      </w:r>
    </w:p>
    <w:p w14:paraId="546E73FC" w14:textId="77777777"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14:paraId="2C645B9F" w14:textId="77777777" w:rsidR="003D7B0B" w:rsidRDefault="003D7B0B" w:rsidP="00884D6C"/>
    <w:p w14:paraId="0D4B44A6" w14:textId="6851A1CB" w:rsidR="00BF36BA" w:rsidRDefault="00CD6095" w:rsidP="00884D6C">
      <w:r>
        <w:t>Der</w:t>
      </w:r>
      <w:r w:rsidR="00F53408">
        <w:t xml:space="preserve"> </w:t>
      </w:r>
      <w:r>
        <w:t>Ablösung</w:t>
      </w:r>
      <w:r w:rsidR="00F53408">
        <w:t xml:space="preserve"> der </w:t>
      </w:r>
      <w:r w:rsidR="00BF36BA">
        <w:t xml:space="preserve">2,0 </w:t>
      </w:r>
      <w:r w:rsidR="003F5C9E">
        <w:t xml:space="preserve">VZK </w:t>
      </w:r>
      <w:r w:rsidR="004226CD">
        <w:t xml:space="preserve">(EG 10) </w:t>
      </w:r>
      <w:r w:rsidR="00BF36BA">
        <w:t>Ermächtigungen für die Sachbearbeitung Arbeitgeberleistungen</w:t>
      </w:r>
      <w:r w:rsidR="000D4CFD">
        <w:t>,</w:t>
      </w:r>
      <w:r>
        <w:t xml:space="preserve"> </w:t>
      </w:r>
      <w:r w:rsidR="00BF36BA">
        <w:t xml:space="preserve">0,5 </w:t>
      </w:r>
      <w:r w:rsidR="003F5C9E">
        <w:t xml:space="preserve">VZK </w:t>
      </w:r>
      <w:r w:rsidR="004226CD">
        <w:t xml:space="preserve">(EG 11) </w:t>
      </w:r>
      <w:r w:rsidR="00BF36BA">
        <w:t>Ermächtigung für die Teamleitung „Umsetzung Teilhabechancengesetz“</w:t>
      </w:r>
      <w:r w:rsidR="000D4CFD">
        <w:t>,</w:t>
      </w:r>
      <w:r>
        <w:t xml:space="preserve"> </w:t>
      </w:r>
      <w:r w:rsidR="00BF36BA">
        <w:t xml:space="preserve">4,0 </w:t>
      </w:r>
      <w:r w:rsidR="003F5C9E">
        <w:t xml:space="preserve">VZK </w:t>
      </w:r>
      <w:r w:rsidR="004226CD">
        <w:t xml:space="preserve">(EG 10) </w:t>
      </w:r>
      <w:r w:rsidR="00BF36BA">
        <w:t>Ermächtigungen für die Betriebsakquisiteure</w:t>
      </w:r>
      <w:r w:rsidR="000D4CFD">
        <w:t>,</w:t>
      </w:r>
      <w:r>
        <w:t xml:space="preserve"> </w:t>
      </w:r>
      <w:r w:rsidR="00BF36BA">
        <w:t xml:space="preserve">5,0 </w:t>
      </w:r>
      <w:r w:rsidR="003F5C9E">
        <w:t xml:space="preserve">VZK </w:t>
      </w:r>
      <w:r w:rsidR="004226CD">
        <w:t xml:space="preserve">(EG 10) </w:t>
      </w:r>
      <w:r w:rsidR="00BF36BA">
        <w:t xml:space="preserve">Ermächtigungen für die Coaches </w:t>
      </w:r>
      <w:r>
        <w:t>wird zugestimmt.</w:t>
      </w:r>
    </w:p>
    <w:p w14:paraId="1B954589" w14:textId="77777777"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14:paraId="48995935" w14:textId="77777777" w:rsidR="003D7B0B" w:rsidRDefault="003D7B0B" w:rsidP="00884D6C"/>
    <w:p w14:paraId="3E002830" w14:textId="1EB8C523" w:rsidR="00572BB3" w:rsidRDefault="006C477D" w:rsidP="00884D6C">
      <w:r>
        <w:t>Das Kriterium der Haushaltsneutralität ist für die o.</w:t>
      </w:r>
      <w:r w:rsidR="003F5C9E">
        <w:t xml:space="preserve"> </w:t>
      </w:r>
      <w:r>
        <w:t>g. Stellen erfüllt.</w:t>
      </w:r>
      <w:r w:rsidR="009F19EE">
        <w:t xml:space="preserve"> </w:t>
      </w:r>
    </w:p>
    <w:p w14:paraId="27127C6D" w14:textId="77777777" w:rsidR="000D4CFD" w:rsidRDefault="000D4CFD" w:rsidP="000D4CFD">
      <w:pPr>
        <w:pStyle w:val="berschrift1"/>
      </w:pPr>
      <w:r>
        <w:t>3</w:t>
      </w:r>
      <w:r>
        <w:tab/>
        <w:t>Bedarf</w:t>
      </w:r>
    </w:p>
    <w:p w14:paraId="0B3C23EA" w14:textId="77777777" w:rsidR="000D4CFD" w:rsidRPr="00884D6C" w:rsidRDefault="000D4CFD" w:rsidP="000D4CFD">
      <w:pPr>
        <w:pStyle w:val="berschrift2"/>
      </w:pPr>
      <w:r w:rsidRPr="00884D6C">
        <w:t>3.1</w:t>
      </w:r>
      <w:r w:rsidRPr="00884D6C">
        <w:tab/>
        <w:t>Anlass</w:t>
      </w:r>
    </w:p>
    <w:p w14:paraId="7A513634" w14:textId="77777777" w:rsidR="006C477D" w:rsidRDefault="006C477D" w:rsidP="000D4CFD">
      <w:pPr>
        <w:pStyle w:val="KeinLeerraum"/>
        <w:rPr>
          <w:rFonts w:ascii="Arial" w:hAnsi="Arial" w:cs="Arial"/>
          <w:sz w:val="24"/>
          <w:szCs w:val="24"/>
        </w:rPr>
      </w:pPr>
    </w:p>
    <w:p w14:paraId="08772B13" w14:textId="316F81C5" w:rsidR="000D4CFD" w:rsidRPr="003F5C9E" w:rsidRDefault="000D4CFD" w:rsidP="000D4CFD">
      <w:pPr>
        <w:pStyle w:val="KeinLeerraum"/>
        <w:rPr>
          <w:rFonts w:ascii="Arial" w:hAnsi="Arial" w:cs="Arial"/>
          <w:sz w:val="24"/>
          <w:szCs w:val="24"/>
        </w:rPr>
      </w:pPr>
      <w:r w:rsidRPr="003E69A6">
        <w:rPr>
          <w:rFonts w:ascii="Arial" w:hAnsi="Arial" w:cs="Arial"/>
          <w:sz w:val="24"/>
          <w:szCs w:val="24"/>
        </w:rPr>
        <w:t>Mit der GRDrs</w:t>
      </w:r>
      <w:r w:rsidR="003F5C9E">
        <w:rPr>
          <w:rFonts w:ascii="Arial" w:hAnsi="Arial" w:cs="Arial"/>
          <w:sz w:val="24"/>
          <w:szCs w:val="24"/>
        </w:rPr>
        <w:t>.</w:t>
      </w:r>
      <w:r w:rsidRPr="003E69A6">
        <w:rPr>
          <w:rFonts w:ascii="Arial" w:hAnsi="Arial" w:cs="Arial"/>
          <w:sz w:val="24"/>
          <w:szCs w:val="24"/>
        </w:rPr>
        <w:t xml:space="preserve"> 943/2020 (Teilhabechancengesetz – Zwischenbericht) wurde der Sozial- und Gesundheitsausschuss über die erfolgreiche Umsetzung des Teilhabechancengesetzes im Jobcenter Stuttgart informiert. Die Förderungen nach § 16e (Eingliederung von Langzeitarbeitslosen) und § 16i (Teilhabe am Arbeitsmarkt) SGB II bieten für Langzeitarbeitslose und Langzeitleistungsbeziehende sehr gute Chancen, </w:t>
      </w:r>
      <w:r>
        <w:rPr>
          <w:rFonts w:ascii="Arial" w:hAnsi="Arial" w:cs="Arial"/>
          <w:sz w:val="24"/>
          <w:szCs w:val="24"/>
        </w:rPr>
        <w:t xml:space="preserve">wieder auf dem Arbeitsmarkt </w:t>
      </w:r>
      <w:r w:rsidRPr="003E69A6">
        <w:rPr>
          <w:rFonts w:ascii="Arial" w:hAnsi="Arial" w:cs="Arial"/>
          <w:sz w:val="24"/>
          <w:szCs w:val="24"/>
        </w:rPr>
        <w:t xml:space="preserve">Fuß zu fassen. </w:t>
      </w:r>
      <w:r w:rsidRPr="006C477D">
        <w:rPr>
          <w:rFonts w:ascii="Arial" w:hAnsi="Arial" w:cs="Arial"/>
          <w:sz w:val="24"/>
          <w:szCs w:val="24"/>
        </w:rPr>
        <w:t xml:space="preserve">Aufgrund der guten Erfahrungen in der Umsetzung des Teilhabechancengesetzes werden die beiden Fördermöglichkeiten – durch </w:t>
      </w:r>
      <w:r w:rsidRPr="003F5C9E">
        <w:rPr>
          <w:rFonts w:ascii="Arial" w:hAnsi="Arial" w:cs="Arial"/>
          <w:sz w:val="24"/>
          <w:szCs w:val="24"/>
        </w:rPr>
        <w:t xml:space="preserve">die zeitliche Entfristung des § 16i SGB II – auf Dauer Anwendung finden. </w:t>
      </w:r>
    </w:p>
    <w:p w14:paraId="388E0A04" w14:textId="77777777" w:rsidR="006C477D" w:rsidRDefault="006C477D" w:rsidP="000D4CFD">
      <w:pPr>
        <w:pStyle w:val="KeinLeerraum"/>
        <w:rPr>
          <w:rFonts w:ascii="Arial" w:hAnsi="Arial" w:cs="Arial"/>
          <w:sz w:val="24"/>
          <w:szCs w:val="24"/>
        </w:rPr>
      </w:pPr>
    </w:p>
    <w:p w14:paraId="5EBC25AF" w14:textId="06D0D931" w:rsidR="000D4CFD" w:rsidRDefault="000D4CFD" w:rsidP="000D4CFD">
      <w:pPr>
        <w:pStyle w:val="KeinLeerraum"/>
        <w:rPr>
          <w:rFonts w:ascii="Arial" w:hAnsi="Arial" w:cs="Arial"/>
          <w:sz w:val="24"/>
          <w:szCs w:val="24"/>
        </w:rPr>
      </w:pPr>
      <w:r w:rsidRPr="00FF711E">
        <w:rPr>
          <w:rFonts w:ascii="Arial" w:hAnsi="Arial" w:cs="Arial"/>
          <w:sz w:val="24"/>
          <w:szCs w:val="24"/>
        </w:rPr>
        <w:t xml:space="preserve">Die dafür notwendigen Mittel stehen im Eingliederungsbudget zur Verfügung. </w:t>
      </w:r>
      <w:r w:rsidRPr="006C477D">
        <w:rPr>
          <w:rFonts w:ascii="Arial" w:hAnsi="Arial" w:cs="Arial"/>
          <w:sz w:val="24"/>
          <w:szCs w:val="24"/>
        </w:rPr>
        <w:t xml:space="preserve">Laut </w:t>
      </w:r>
      <w:r w:rsidR="00D0336B" w:rsidRPr="006C477D">
        <w:rPr>
          <w:rFonts w:ascii="Arial" w:hAnsi="Arial" w:cs="Arial"/>
          <w:sz w:val="24"/>
          <w:szCs w:val="24"/>
        </w:rPr>
        <w:t>Finanzplan des Bundes 2022 bis 2026</w:t>
      </w:r>
      <w:r w:rsidR="00D0336B" w:rsidRPr="00FF711E">
        <w:rPr>
          <w:rFonts w:ascii="Arial" w:hAnsi="Arial" w:cs="Arial"/>
          <w:sz w:val="24"/>
          <w:szCs w:val="24"/>
        </w:rPr>
        <w:t xml:space="preserve"> </w:t>
      </w:r>
      <w:r w:rsidRPr="00FF711E">
        <w:rPr>
          <w:rFonts w:ascii="Arial" w:hAnsi="Arial" w:cs="Arial"/>
          <w:sz w:val="24"/>
          <w:szCs w:val="24"/>
        </w:rPr>
        <w:t xml:space="preserve">werden für das Gesamtbudget zur Erbringung von Eingliederungsleistungen und für die Verwaltungskosten </w:t>
      </w:r>
      <w:r w:rsidR="00D0336B" w:rsidRPr="00306F5F">
        <w:rPr>
          <w:rFonts w:ascii="Arial" w:hAnsi="Arial" w:cs="Arial"/>
          <w:sz w:val="24"/>
          <w:szCs w:val="24"/>
        </w:rPr>
        <w:t>9,</w:t>
      </w:r>
      <w:r w:rsidR="00E15ABB" w:rsidRPr="00306F5F">
        <w:rPr>
          <w:rFonts w:ascii="Arial" w:hAnsi="Arial" w:cs="Arial"/>
          <w:sz w:val="24"/>
          <w:szCs w:val="24"/>
        </w:rPr>
        <w:t>6</w:t>
      </w:r>
      <w:r w:rsidR="00D0336B" w:rsidRPr="00306F5F">
        <w:rPr>
          <w:rFonts w:ascii="Arial" w:hAnsi="Arial" w:cs="Arial"/>
          <w:sz w:val="24"/>
          <w:szCs w:val="24"/>
        </w:rPr>
        <w:t>5</w:t>
      </w:r>
      <w:r w:rsidRPr="00306F5F">
        <w:rPr>
          <w:rFonts w:ascii="Arial" w:hAnsi="Arial" w:cs="Arial"/>
          <w:sz w:val="24"/>
          <w:szCs w:val="24"/>
        </w:rPr>
        <w:t xml:space="preserve"> Mrd. </w:t>
      </w:r>
      <w:r w:rsidR="003F5C9E">
        <w:rPr>
          <w:rFonts w:ascii="Arial" w:hAnsi="Arial" w:cs="Arial"/>
          <w:sz w:val="24"/>
          <w:szCs w:val="24"/>
        </w:rPr>
        <w:t>€</w:t>
      </w:r>
      <w:r w:rsidRPr="00FF711E">
        <w:rPr>
          <w:rFonts w:ascii="Arial" w:hAnsi="Arial" w:cs="Arial"/>
          <w:sz w:val="24"/>
          <w:szCs w:val="24"/>
        </w:rPr>
        <w:t xml:space="preserve"> </w:t>
      </w:r>
      <w:r w:rsidR="00D0336B" w:rsidRPr="00FF711E">
        <w:rPr>
          <w:rFonts w:ascii="Arial" w:hAnsi="Arial" w:cs="Arial"/>
          <w:sz w:val="24"/>
          <w:szCs w:val="24"/>
        </w:rPr>
        <w:t>für 2023</w:t>
      </w:r>
      <w:r w:rsidRPr="00FF711E">
        <w:rPr>
          <w:rFonts w:ascii="Arial" w:hAnsi="Arial" w:cs="Arial"/>
          <w:sz w:val="24"/>
          <w:szCs w:val="24"/>
        </w:rPr>
        <w:t xml:space="preserve"> veranschlagt</w:t>
      </w:r>
      <w:r w:rsidR="00D0336B" w:rsidRPr="00FF711E">
        <w:rPr>
          <w:rFonts w:ascii="Arial" w:hAnsi="Arial" w:cs="Arial"/>
          <w:sz w:val="24"/>
          <w:szCs w:val="24"/>
        </w:rPr>
        <w:t xml:space="preserve">. Zudem wird die Resteregelung aus dem Jahr 2022 für das Jahr 2023 verstetigt. </w:t>
      </w:r>
      <w:r w:rsidR="00D0336B" w:rsidRPr="00FF711E">
        <w:rPr>
          <w:rFonts w:ascii="Arial" w:hAnsi="Arial" w:cs="Arial"/>
          <w:sz w:val="24"/>
          <w:szCs w:val="24"/>
        </w:rPr>
        <w:lastRenderedPageBreak/>
        <w:t xml:space="preserve">Damit kann das Gesamtbudget um bis zu 600 Mio. € verstärkt werden. Auch der Passiv-Aktiv-Transfer für den sozialen Arbeitsmarkt mit 700 Mio. € beim </w:t>
      </w:r>
      <w:r w:rsidR="009112C6" w:rsidRPr="00630127">
        <w:rPr>
          <w:rFonts w:ascii="Arial" w:hAnsi="Arial" w:cs="Arial"/>
          <w:sz w:val="24"/>
          <w:szCs w:val="24"/>
        </w:rPr>
        <w:t>Bürgergeld</w:t>
      </w:r>
      <w:r w:rsidR="009112C6">
        <w:rPr>
          <w:rFonts w:ascii="Arial" w:hAnsi="Arial" w:cs="Arial"/>
          <w:sz w:val="24"/>
          <w:szCs w:val="24"/>
        </w:rPr>
        <w:t xml:space="preserve"> </w:t>
      </w:r>
      <w:r w:rsidR="00D0336B" w:rsidRPr="00FF711E">
        <w:rPr>
          <w:rFonts w:ascii="Arial" w:hAnsi="Arial" w:cs="Arial"/>
          <w:sz w:val="24"/>
          <w:szCs w:val="24"/>
        </w:rPr>
        <w:t>wird fortgeführt</w:t>
      </w:r>
      <w:r w:rsidRPr="00FF711E">
        <w:rPr>
          <w:rFonts w:ascii="Arial" w:hAnsi="Arial" w:cs="Arial"/>
          <w:sz w:val="24"/>
          <w:szCs w:val="24"/>
        </w:rPr>
        <w:t xml:space="preserve">, so dass davon auszugehen ist, dass auch in den Folgejahren Mittel in </w:t>
      </w:r>
      <w:r w:rsidR="00FF711E">
        <w:rPr>
          <w:rFonts w:ascii="Arial" w:hAnsi="Arial" w:cs="Arial"/>
          <w:sz w:val="24"/>
          <w:szCs w:val="24"/>
        </w:rPr>
        <w:t>ausreichender</w:t>
      </w:r>
      <w:r w:rsidRPr="00FF711E">
        <w:rPr>
          <w:rFonts w:ascii="Arial" w:hAnsi="Arial" w:cs="Arial"/>
          <w:sz w:val="24"/>
          <w:szCs w:val="24"/>
        </w:rPr>
        <w:t xml:space="preserve"> Höhe bereitgestellt werden. Sollten sich Änderungen ergeben und Eingliederungsmittel in geringerem Umfang zur Verfügung stehen, werden die für die Förderungen nach §§ 16e und i SGB II notwendigen Mittel durch Kürzungen bzw. Streichungen bei anderen Eingliederungsleistungen kompensiert.</w:t>
      </w:r>
    </w:p>
    <w:p w14:paraId="6979831F" w14:textId="77777777"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14:paraId="75A81C04" w14:textId="77777777" w:rsidR="003D7B0B" w:rsidRDefault="003D7B0B" w:rsidP="00884D6C"/>
    <w:p w14:paraId="4D47CAE6" w14:textId="1AEBB85A" w:rsidR="003D7B0B" w:rsidRDefault="006C477D" w:rsidP="00884D6C">
      <w:r>
        <w:t xml:space="preserve">Die Aufgaben werden </w:t>
      </w:r>
      <w:r w:rsidR="00EA2221">
        <w:t>durch die vorhandenen Ermächtigungen wahrgenommen</w:t>
      </w:r>
      <w:r w:rsidR="002A465C">
        <w:t>.</w:t>
      </w:r>
    </w:p>
    <w:p w14:paraId="563FC6B9" w14:textId="77777777"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14:paraId="67B799FF" w14:textId="77777777" w:rsidR="003D7B0B" w:rsidRDefault="003D7B0B" w:rsidP="00884D6C"/>
    <w:p w14:paraId="099BAFF8" w14:textId="2225C659" w:rsidR="003D7B0B" w:rsidRDefault="00EA2221" w:rsidP="00884D6C">
      <w:r>
        <w:t xml:space="preserve">Werden die Ermächtigungen nicht in Stellen </w:t>
      </w:r>
      <w:r w:rsidR="003F5C9E">
        <w:t>überführt</w:t>
      </w:r>
      <w:r>
        <w:t xml:space="preserve">, </w:t>
      </w:r>
      <w:r w:rsidR="00317D71">
        <w:t>müssten entweder die Ermächtigungen verlängert werden, was im Kontext der Entfristung des § 16i SGB II nicht sinnvoll erscheint oder die Ermächtigungen enden zum 31.12.202</w:t>
      </w:r>
      <w:r w:rsidR="003F5C9E">
        <w:t>3</w:t>
      </w:r>
      <w:r w:rsidR="00317D71">
        <w:t xml:space="preserve">. Dann könnten </w:t>
      </w:r>
      <w:r>
        <w:t>keine Leistungsberechtigen mehr mit einem Lohnkosten</w:t>
      </w:r>
      <w:r w:rsidR="003F5C9E">
        <w:t>zuschuss nach § 16i SGB II an Ar</w:t>
      </w:r>
      <w:r>
        <w:t xml:space="preserve">beitgebende vermittelt werden. Zum einen </w:t>
      </w:r>
      <w:r w:rsidR="00DA178D">
        <w:t xml:space="preserve">würde </w:t>
      </w:r>
      <w:r>
        <w:t xml:space="preserve">damit die Intention des </w:t>
      </w:r>
      <w:r w:rsidR="008321BE">
        <w:t>Gesetz</w:t>
      </w:r>
      <w:bookmarkStart w:id="0" w:name="_GoBack"/>
      <w:bookmarkEnd w:id="0"/>
      <w:r w:rsidR="00FD632D">
        <w:t xml:space="preserve">gebers, sehr arbeitsmarktfernen Leistungsberechtigen Chancen auf dem Arbeitsmarkt und damit Teilhabe zu ermöglichen, </w:t>
      </w:r>
      <w:r w:rsidR="00DA178D">
        <w:t>ad absurdum geführt</w:t>
      </w:r>
      <w:r w:rsidR="00FD632D">
        <w:t xml:space="preserve">. </w:t>
      </w:r>
      <w:r w:rsidR="00DA178D">
        <w:t xml:space="preserve">Zum anderen </w:t>
      </w:r>
      <w:r w:rsidR="00FD632D">
        <w:t>hätte die wegfallende Fördermöglichkeit negative Auswirkungen auf den Anteil der Langleistungsbeziehenden und Langzeitarbeitslosen.</w:t>
      </w:r>
    </w:p>
    <w:p w14:paraId="34BA78E3" w14:textId="77777777"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14:paraId="70BC745A" w14:textId="77777777" w:rsidR="003D7B0B" w:rsidRDefault="003D7B0B" w:rsidP="00884D6C"/>
    <w:p w14:paraId="1AD255DB" w14:textId="06E91BFF" w:rsidR="007154E7" w:rsidRDefault="00CD6095" w:rsidP="00884D6C">
      <w:r>
        <w:t>-</w:t>
      </w:r>
    </w:p>
    <w:sectPr w:rsidR="007154E7" w:rsidSect="006C477D">
      <w:headerReference w:type="default" r:id="rId7"/>
      <w:pgSz w:w="11907" w:h="16840" w:code="9"/>
      <w:pgMar w:top="1276" w:right="1134" w:bottom="993" w:left="1418" w:header="851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BDF1B" w14:textId="77777777" w:rsidR="00C61793" w:rsidRDefault="00C61793">
      <w:r>
        <w:separator/>
      </w:r>
    </w:p>
  </w:endnote>
  <w:endnote w:type="continuationSeparator" w:id="0">
    <w:p w14:paraId="50417DA7" w14:textId="77777777" w:rsidR="00C61793" w:rsidRDefault="00C6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2EE2A" w14:textId="77777777" w:rsidR="00C61793" w:rsidRDefault="00C61793">
      <w:r>
        <w:separator/>
      </w:r>
    </w:p>
  </w:footnote>
  <w:footnote w:type="continuationSeparator" w:id="0">
    <w:p w14:paraId="71C8FBB0" w14:textId="77777777" w:rsidR="00C61793" w:rsidRDefault="00C61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01340" w14:textId="7F6FFA7D"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8321BE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14:paraId="016F461C" w14:textId="77777777"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8811AD"/>
    <w:multiLevelType w:val="hybridMultilevel"/>
    <w:tmpl w:val="9D6CD4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AF7D18"/>
    <w:multiLevelType w:val="multilevel"/>
    <w:tmpl w:val="6AC459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5A146F"/>
    <w:multiLevelType w:val="hybridMultilevel"/>
    <w:tmpl w:val="1B4215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5" w15:restartNumberingAfterBreak="0">
    <w:nsid w:val="19312AEE"/>
    <w:multiLevelType w:val="multilevel"/>
    <w:tmpl w:val="6AC459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7" w15:restartNumberingAfterBreak="0">
    <w:nsid w:val="252C4FD4"/>
    <w:multiLevelType w:val="hybridMultilevel"/>
    <w:tmpl w:val="FB824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0A3B60">
      <w:numFmt w:val="bullet"/>
      <w:lvlText w:val="−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75FCB"/>
    <w:multiLevelType w:val="hybridMultilevel"/>
    <w:tmpl w:val="905810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65E2D"/>
    <w:multiLevelType w:val="multilevel"/>
    <w:tmpl w:val="5FA6BBA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11" w15:restartNumberingAfterBreak="0">
    <w:nsid w:val="4C522F28"/>
    <w:multiLevelType w:val="hybridMultilevel"/>
    <w:tmpl w:val="7FA2FA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8F3EDC"/>
    <w:multiLevelType w:val="hybridMultilevel"/>
    <w:tmpl w:val="08888BD2"/>
    <w:lvl w:ilvl="0" w:tplc="E8BAA75C"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14" w15:restartNumberingAfterBreak="0">
    <w:nsid w:val="72F3305D"/>
    <w:multiLevelType w:val="hybridMultilevel"/>
    <w:tmpl w:val="62E8EA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4"/>
  </w:num>
  <w:num w:numId="4">
    <w:abstractNumId w:val="10"/>
  </w:num>
  <w:num w:numId="5">
    <w:abstractNumId w:val="13"/>
  </w:num>
  <w:num w:numId="6">
    <w:abstractNumId w:val="9"/>
  </w:num>
  <w:num w:numId="7">
    <w:abstractNumId w:val="1"/>
  </w:num>
  <w:num w:numId="8">
    <w:abstractNumId w:val="5"/>
  </w:num>
  <w:num w:numId="9">
    <w:abstractNumId w:val="14"/>
  </w:num>
  <w:num w:numId="10">
    <w:abstractNumId w:val="8"/>
  </w:num>
  <w:num w:numId="11">
    <w:abstractNumId w:val="3"/>
  </w:num>
  <w:num w:numId="12">
    <w:abstractNumId w:val="2"/>
  </w:num>
  <w:num w:numId="13">
    <w:abstractNumId w:val="1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08"/>
    <w:rsid w:val="0001331E"/>
    <w:rsid w:val="00026253"/>
    <w:rsid w:val="00033108"/>
    <w:rsid w:val="00044475"/>
    <w:rsid w:val="00047EBB"/>
    <w:rsid w:val="00055758"/>
    <w:rsid w:val="00061F0B"/>
    <w:rsid w:val="000671F2"/>
    <w:rsid w:val="000A1146"/>
    <w:rsid w:val="000D4CFD"/>
    <w:rsid w:val="000E49BA"/>
    <w:rsid w:val="000F1508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11E6"/>
    <w:rsid w:val="001A5F9B"/>
    <w:rsid w:val="001C589B"/>
    <w:rsid w:val="001F0074"/>
    <w:rsid w:val="001F7237"/>
    <w:rsid w:val="0026255D"/>
    <w:rsid w:val="00283C05"/>
    <w:rsid w:val="002924CB"/>
    <w:rsid w:val="002A20D1"/>
    <w:rsid w:val="002A465C"/>
    <w:rsid w:val="002A4DE3"/>
    <w:rsid w:val="002B4E54"/>
    <w:rsid w:val="002B5955"/>
    <w:rsid w:val="002E601B"/>
    <w:rsid w:val="0030686C"/>
    <w:rsid w:val="00306F5F"/>
    <w:rsid w:val="00317D71"/>
    <w:rsid w:val="003241E1"/>
    <w:rsid w:val="00380937"/>
    <w:rsid w:val="00397717"/>
    <w:rsid w:val="003D7B0B"/>
    <w:rsid w:val="003E0F4B"/>
    <w:rsid w:val="003E37D3"/>
    <w:rsid w:val="003F0FAA"/>
    <w:rsid w:val="003F5C9E"/>
    <w:rsid w:val="004226CD"/>
    <w:rsid w:val="00470135"/>
    <w:rsid w:val="0047606A"/>
    <w:rsid w:val="004908B5"/>
    <w:rsid w:val="0049121B"/>
    <w:rsid w:val="004A1688"/>
    <w:rsid w:val="004B6796"/>
    <w:rsid w:val="005436B0"/>
    <w:rsid w:val="00570CB8"/>
    <w:rsid w:val="00572BB3"/>
    <w:rsid w:val="005A0A9D"/>
    <w:rsid w:val="005A56AA"/>
    <w:rsid w:val="005C4F26"/>
    <w:rsid w:val="005E19C6"/>
    <w:rsid w:val="005F5B3D"/>
    <w:rsid w:val="005F6D4C"/>
    <w:rsid w:val="00606F80"/>
    <w:rsid w:val="00622CC7"/>
    <w:rsid w:val="00630127"/>
    <w:rsid w:val="00665CB8"/>
    <w:rsid w:val="006A406B"/>
    <w:rsid w:val="006B6D50"/>
    <w:rsid w:val="006C477D"/>
    <w:rsid w:val="006E0575"/>
    <w:rsid w:val="007154E7"/>
    <w:rsid w:val="0072799A"/>
    <w:rsid w:val="00754659"/>
    <w:rsid w:val="00791844"/>
    <w:rsid w:val="007A44C5"/>
    <w:rsid w:val="007E3B79"/>
    <w:rsid w:val="008066EE"/>
    <w:rsid w:val="00817BB6"/>
    <w:rsid w:val="008321BE"/>
    <w:rsid w:val="00864C80"/>
    <w:rsid w:val="00884D6C"/>
    <w:rsid w:val="008B0353"/>
    <w:rsid w:val="008E3E95"/>
    <w:rsid w:val="009107A6"/>
    <w:rsid w:val="009112C6"/>
    <w:rsid w:val="00920F00"/>
    <w:rsid w:val="009276A3"/>
    <w:rsid w:val="009373F6"/>
    <w:rsid w:val="00945BBF"/>
    <w:rsid w:val="00946276"/>
    <w:rsid w:val="0096038F"/>
    <w:rsid w:val="00976588"/>
    <w:rsid w:val="009F19EE"/>
    <w:rsid w:val="00A047D9"/>
    <w:rsid w:val="00A27CA7"/>
    <w:rsid w:val="00A45B30"/>
    <w:rsid w:val="00A71D0A"/>
    <w:rsid w:val="00A77F1E"/>
    <w:rsid w:val="00A847C4"/>
    <w:rsid w:val="00AB389D"/>
    <w:rsid w:val="00AE7B02"/>
    <w:rsid w:val="00AF0DEA"/>
    <w:rsid w:val="00AF25E0"/>
    <w:rsid w:val="00B00440"/>
    <w:rsid w:val="00B04290"/>
    <w:rsid w:val="00B16703"/>
    <w:rsid w:val="00B33822"/>
    <w:rsid w:val="00B43420"/>
    <w:rsid w:val="00B75DB1"/>
    <w:rsid w:val="00B80DEF"/>
    <w:rsid w:val="00B81D51"/>
    <w:rsid w:val="00B86BB5"/>
    <w:rsid w:val="00B87612"/>
    <w:rsid w:val="00B91903"/>
    <w:rsid w:val="00B94E21"/>
    <w:rsid w:val="00BB34F8"/>
    <w:rsid w:val="00BC4669"/>
    <w:rsid w:val="00BF36BA"/>
    <w:rsid w:val="00BF56FF"/>
    <w:rsid w:val="00C16EF1"/>
    <w:rsid w:val="00C448D3"/>
    <w:rsid w:val="00C61793"/>
    <w:rsid w:val="00C82509"/>
    <w:rsid w:val="00CB0AAF"/>
    <w:rsid w:val="00CD6095"/>
    <w:rsid w:val="00CE630D"/>
    <w:rsid w:val="00CF62E5"/>
    <w:rsid w:val="00D0336B"/>
    <w:rsid w:val="00D61593"/>
    <w:rsid w:val="00D66D3A"/>
    <w:rsid w:val="00D743D4"/>
    <w:rsid w:val="00D91884"/>
    <w:rsid w:val="00DA178D"/>
    <w:rsid w:val="00DB3D6C"/>
    <w:rsid w:val="00DE362D"/>
    <w:rsid w:val="00E014B6"/>
    <w:rsid w:val="00E0550A"/>
    <w:rsid w:val="00E1012A"/>
    <w:rsid w:val="00E1162F"/>
    <w:rsid w:val="00E11D5F"/>
    <w:rsid w:val="00E15ABB"/>
    <w:rsid w:val="00E20E1F"/>
    <w:rsid w:val="00E42F96"/>
    <w:rsid w:val="00E7118F"/>
    <w:rsid w:val="00EA2221"/>
    <w:rsid w:val="00EC5DFD"/>
    <w:rsid w:val="00ED71FD"/>
    <w:rsid w:val="00F05E6E"/>
    <w:rsid w:val="00F27657"/>
    <w:rsid w:val="00F342DC"/>
    <w:rsid w:val="00F43A0E"/>
    <w:rsid w:val="00F50D59"/>
    <w:rsid w:val="00F53408"/>
    <w:rsid w:val="00F56F93"/>
    <w:rsid w:val="00F63041"/>
    <w:rsid w:val="00F7315C"/>
    <w:rsid w:val="00F76452"/>
    <w:rsid w:val="00FD1A39"/>
    <w:rsid w:val="00FD632D"/>
    <w:rsid w:val="00FD6B46"/>
    <w:rsid w:val="00FD73C6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9FBCE1B"/>
  <w15:docId w15:val="{D8E785D6-B572-4C77-B536-0AB4C92F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KeinLeerraum">
    <w:name w:val="No Spacing"/>
    <w:uiPriority w:val="1"/>
    <w:qFormat/>
    <w:rsid w:val="007154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absatz">
    <w:name w:val="List Paragraph"/>
    <w:basedOn w:val="Standard"/>
    <w:qFormat/>
    <w:rsid w:val="007154E7"/>
    <w:pPr>
      <w:ind w:left="720"/>
      <w:contextualSpacing/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7154E7"/>
  </w:style>
  <w:style w:type="paragraph" w:customStyle="1" w:styleId="Default">
    <w:name w:val="Default"/>
    <w:rsid w:val="00D0336B"/>
    <w:pPr>
      <w:autoSpaceDE w:val="0"/>
      <w:autoSpaceDN w:val="0"/>
      <w:adjustRightInd w:val="0"/>
    </w:pPr>
    <w:rPr>
      <w:rFonts w:cs="Arial"/>
      <w:color w:val="000000"/>
    </w:rPr>
  </w:style>
  <w:style w:type="character" w:styleId="Kommentarzeichen">
    <w:name w:val="annotation reference"/>
    <w:basedOn w:val="Absatz-Standardschriftart"/>
    <w:semiHidden/>
    <w:unhideWhenUsed/>
    <w:rsid w:val="00F7315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7315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7315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731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7315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F7315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73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90904\AppData\Local\Temp\notes65C8FE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2</Pages>
  <Words>495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Faller, Isolde</dc:creator>
  <cp:lastModifiedBy>Baumann, Gerhard</cp:lastModifiedBy>
  <cp:revision>12</cp:revision>
  <cp:lastPrinted>2023-10-30T09:08:00Z</cp:lastPrinted>
  <dcterms:created xsi:type="dcterms:W3CDTF">2023-08-28T07:56:00Z</dcterms:created>
  <dcterms:modified xsi:type="dcterms:W3CDTF">2023-10-30T09:08:00Z</dcterms:modified>
</cp:coreProperties>
</file>