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34CA2" w14:textId="60FBA857" w:rsidR="003D7B0B" w:rsidRPr="006E0575" w:rsidRDefault="003D7B0B" w:rsidP="00397717">
      <w:pPr>
        <w:jc w:val="right"/>
      </w:pPr>
      <w:r w:rsidRPr="006E0575">
        <w:t xml:space="preserve">Anlage </w:t>
      </w:r>
      <w:r w:rsidR="00A5275D">
        <w:t>47</w:t>
      </w:r>
      <w:r w:rsidRPr="006E0575">
        <w:t xml:space="preserve"> zur GRDrs</w:t>
      </w:r>
      <w:r w:rsidR="00403F6D">
        <w:t>.</w:t>
      </w:r>
      <w:r w:rsidRPr="006E0575">
        <w:t xml:space="preserve"> </w:t>
      </w:r>
      <w:r w:rsidR="00403F6D">
        <w:t>823</w:t>
      </w:r>
      <w:r w:rsidR="005F5B3D">
        <w:t>/20</w:t>
      </w:r>
      <w:r w:rsidR="00AE7B02">
        <w:t>2</w:t>
      </w:r>
      <w:r w:rsidR="00026253">
        <w:t>3</w:t>
      </w:r>
    </w:p>
    <w:p w14:paraId="152F962E" w14:textId="77777777" w:rsidR="003D7B0B" w:rsidRPr="006E0575" w:rsidRDefault="003D7B0B" w:rsidP="006E0575"/>
    <w:p w14:paraId="5DA12672" w14:textId="77777777" w:rsidR="003D7B0B" w:rsidRPr="006E0575" w:rsidRDefault="003D7B0B" w:rsidP="006E0575"/>
    <w:p w14:paraId="0A4CC50D" w14:textId="77777777" w:rsidR="00A3308F" w:rsidRPr="006756DB" w:rsidRDefault="00A3308F" w:rsidP="00A3308F">
      <w:pPr>
        <w:jc w:val="center"/>
        <w:rPr>
          <w:b/>
          <w:sz w:val="36"/>
        </w:rPr>
      </w:pPr>
      <w:r w:rsidRPr="006756DB">
        <w:rPr>
          <w:b/>
          <w:sz w:val="36"/>
          <w:u w:val="single"/>
        </w:rPr>
        <w:t xml:space="preserve">Verlängerung von Ermächtigungen </w:t>
      </w:r>
    </w:p>
    <w:p w14:paraId="3E302AD6" w14:textId="77777777" w:rsidR="00A3308F" w:rsidRPr="006756DB" w:rsidRDefault="00A3308F" w:rsidP="00A3308F">
      <w:pPr>
        <w:jc w:val="center"/>
        <w:rPr>
          <w:b/>
          <w:sz w:val="36"/>
          <w:szCs w:val="36"/>
          <w:u w:val="single"/>
        </w:rPr>
      </w:pPr>
      <w:r w:rsidRPr="006756DB">
        <w:rPr>
          <w:b/>
          <w:sz w:val="36"/>
          <w:szCs w:val="36"/>
          <w:u w:val="single"/>
        </w:rPr>
        <w:t>zur Einstellung von Personal</w:t>
      </w:r>
    </w:p>
    <w:p w14:paraId="58E82689" w14:textId="77777777" w:rsidR="00A3308F" w:rsidRPr="006756DB" w:rsidRDefault="00A3308F" w:rsidP="00A3308F">
      <w:pPr>
        <w:jc w:val="center"/>
        <w:rPr>
          <w:b/>
          <w:sz w:val="36"/>
          <w:szCs w:val="36"/>
          <w:u w:val="single"/>
        </w:rPr>
      </w:pPr>
      <w:r w:rsidRPr="006756DB">
        <w:rPr>
          <w:b/>
          <w:sz w:val="36"/>
          <w:szCs w:val="36"/>
          <w:u w:val="single"/>
        </w:rPr>
        <w:t>außerhalb des Stellenplans</w:t>
      </w:r>
    </w:p>
    <w:p w14:paraId="5D1B4AF5" w14:textId="77777777" w:rsidR="003D7B0B" w:rsidRDefault="003D7B0B" w:rsidP="006E0575">
      <w:pPr>
        <w:rPr>
          <w:u w:val="single"/>
        </w:rPr>
      </w:pPr>
    </w:p>
    <w:p w14:paraId="7B177623" w14:textId="77777777" w:rsidR="00DE362D" w:rsidRPr="00E42F96" w:rsidRDefault="00DE362D" w:rsidP="006E0575">
      <w:pPr>
        <w:rPr>
          <w:u w:val="single"/>
        </w:rPr>
      </w:pPr>
    </w:p>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213"/>
        <w:gridCol w:w="1509"/>
      </w:tblGrid>
      <w:tr w:rsidR="005F5B3D" w:rsidRPr="006E0575" w14:paraId="3833877B" w14:textId="77777777" w:rsidTr="00403F6D">
        <w:trPr>
          <w:tblHeader/>
        </w:trPr>
        <w:tc>
          <w:tcPr>
            <w:tcW w:w="1701" w:type="dxa"/>
            <w:shd w:val="pct12" w:color="auto" w:fill="FFFFFF"/>
          </w:tcPr>
          <w:p w14:paraId="4E1C1473" w14:textId="77777777" w:rsidR="00A3308F" w:rsidRDefault="00A3308F" w:rsidP="00A3308F">
            <w:pPr>
              <w:spacing w:before="120" w:after="120" w:line="200" w:lineRule="exact"/>
              <w:ind w:right="-85"/>
              <w:rPr>
                <w:sz w:val="16"/>
                <w:szCs w:val="16"/>
              </w:rPr>
            </w:pPr>
            <w:r>
              <w:rPr>
                <w:sz w:val="16"/>
                <w:szCs w:val="16"/>
              </w:rPr>
              <w:t>Stellennummer,</w:t>
            </w:r>
          </w:p>
          <w:p w14:paraId="264963CF" w14:textId="77777777" w:rsidR="005F5B3D" w:rsidRPr="006E0575" w:rsidRDefault="00A3308F" w:rsidP="00A3308F">
            <w:pPr>
              <w:spacing w:before="120" w:after="120" w:line="200" w:lineRule="exact"/>
              <w:rPr>
                <w:sz w:val="16"/>
                <w:szCs w:val="16"/>
              </w:rPr>
            </w:pPr>
            <w:r>
              <w:rPr>
                <w:sz w:val="16"/>
                <w:szCs w:val="16"/>
              </w:rPr>
              <w:t>Kostenstelle</w:t>
            </w:r>
          </w:p>
        </w:tc>
        <w:tc>
          <w:tcPr>
            <w:tcW w:w="1701" w:type="dxa"/>
            <w:shd w:val="pct12" w:color="auto" w:fill="FFFFFF"/>
          </w:tcPr>
          <w:p w14:paraId="6886C27B" w14:textId="77777777"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14:paraId="14DFD110" w14:textId="77777777" w:rsidR="00DE362D" w:rsidRDefault="00606F80" w:rsidP="003E0F4B">
            <w:pPr>
              <w:spacing w:before="120" w:after="120" w:line="200" w:lineRule="exact"/>
              <w:rPr>
                <w:sz w:val="16"/>
                <w:szCs w:val="16"/>
              </w:rPr>
            </w:pPr>
            <w:r>
              <w:rPr>
                <w:sz w:val="16"/>
                <w:szCs w:val="16"/>
              </w:rPr>
              <w:t>BesGr.</w:t>
            </w:r>
          </w:p>
          <w:p w14:paraId="69640743" w14:textId="77777777" w:rsidR="00DE362D" w:rsidRDefault="00606F80" w:rsidP="003E0F4B">
            <w:pPr>
              <w:spacing w:before="120" w:after="120" w:line="200" w:lineRule="exact"/>
              <w:rPr>
                <w:sz w:val="16"/>
                <w:szCs w:val="16"/>
              </w:rPr>
            </w:pPr>
            <w:r>
              <w:rPr>
                <w:sz w:val="16"/>
                <w:szCs w:val="16"/>
              </w:rPr>
              <w:t>oder</w:t>
            </w:r>
          </w:p>
          <w:p w14:paraId="3D7774E0" w14:textId="77777777"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14:paraId="2ACB7F8E" w14:textId="77777777"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14:paraId="5BE93DAE" w14:textId="252E12F9" w:rsidR="005F5B3D" w:rsidRPr="006E0575" w:rsidRDefault="00403F6D" w:rsidP="00403F6D">
            <w:pPr>
              <w:spacing w:before="120" w:after="120" w:line="200" w:lineRule="exact"/>
              <w:rPr>
                <w:sz w:val="16"/>
                <w:szCs w:val="16"/>
              </w:rPr>
            </w:pPr>
            <w:r>
              <w:rPr>
                <w:sz w:val="16"/>
                <w:szCs w:val="16"/>
              </w:rPr>
              <w:t>Umfang</w:t>
            </w:r>
            <w:r w:rsidR="005F5B3D">
              <w:rPr>
                <w:sz w:val="16"/>
                <w:szCs w:val="16"/>
              </w:rPr>
              <w:br/>
            </w:r>
            <w:r w:rsidR="005F5B3D" w:rsidRPr="006E0575">
              <w:rPr>
                <w:sz w:val="16"/>
                <w:szCs w:val="16"/>
              </w:rPr>
              <w:t>der</w:t>
            </w:r>
            <w:r w:rsidR="005F5B3D" w:rsidRPr="006E0575">
              <w:rPr>
                <w:sz w:val="16"/>
                <w:szCs w:val="16"/>
              </w:rPr>
              <w:br/>
            </w:r>
            <w:proofErr w:type="spellStart"/>
            <w:r>
              <w:rPr>
                <w:sz w:val="16"/>
                <w:szCs w:val="16"/>
              </w:rPr>
              <w:t>Erm</w:t>
            </w:r>
            <w:proofErr w:type="spellEnd"/>
            <w:r>
              <w:rPr>
                <w:sz w:val="16"/>
                <w:szCs w:val="16"/>
              </w:rPr>
              <w:t>.</w:t>
            </w:r>
          </w:p>
        </w:tc>
        <w:tc>
          <w:tcPr>
            <w:tcW w:w="1213" w:type="dxa"/>
            <w:shd w:val="pct12" w:color="auto" w:fill="FFFFFF"/>
          </w:tcPr>
          <w:p w14:paraId="55726F9F" w14:textId="77777777" w:rsidR="005F5B3D" w:rsidRDefault="00403F6D" w:rsidP="003E0F4B">
            <w:pPr>
              <w:spacing w:before="120" w:after="120" w:line="200" w:lineRule="exact"/>
              <w:rPr>
                <w:sz w:val="16"/>
                <w:szCs w:val="16"/>
              </w:rPr>
            </w:pPr>
            <w:r>
              <w:rPr>
                <w:sz w:val="16"/>
                <w:szCs w:val="16"/>
              </w:rPr>
              <w:t>Eingerichtet bis</w:t>
            </w:r>
          </w:p>
          <w:p w14:paraId="4F6C2909" w14:textId="0AAD080C" w:rsidR="00403F6D" w:rsidRDefault="00403F6D" w:rsidP="003E0F4B">
            <w:pPr>
              <w:spacing w:before="120" w:after="120" w:line="200" w:lineRule="exact"/>
              <w:rPr>
                <w:sz w:val="16"/>
                <w:szCs w:val="16"/>
              </w:rPr>
            </w:pPr>
            <w:r>
              <w:rPr>
                <w:sz w:val="16"/>
                <w:szCs w:val="16"/>
              </w:rPr>
              <w:t>bisher</w:t>
            </w:r>
          </w:p>
          <w:p w14:paraId="1DF026E9" w14:textId="041E5DE7" w:rsidR="00403F6D" w:rsidRPr="00403F6D" w:rsidRDefault="00403F6D" w:rsidP="003E0F4B">
            <w:pPr>
              <w:spacing w:before="120" w:after="120" w:line="200" w:lineRule="exact"/>
              <w:rPr>
                <w:b/>
                <w:sz w:val="16"/>
                <w:szCs w:val="16"/>
              </w:rPr>
            </w:pPr>
            <w:r w:rsidRPr="00403F6D">
              <w:rPr>
                <w:b/>
                <w:sz w:val="16"/>
                <w:szCs w:val="16"/>
              </w:rPr>
              <w:t>neu</w:t>
            </w:r>
          </w:p>
        </w:tc>
        <w:tc>
          <w:tcPr>
            <w:tcW w:w="1509" w:type="dxa"/>
            <w:shd w:val="pct12" w:color="auto" w:fill="FFFFFF"/>
          </w:tcPr>
          <w:p w14:paraId="2111854C" w14:textId="77777777"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2B72" w:rsidRPr="006E0575" w14:paraId="6857156F" w14:textId="77777777" w:rsidTr="00403F6D">
        <w:tc>
          <w:tcPr>
            <w:tcW w:w="1701" w:type="dxa"/>
          </w:tcPr>
          <w:p w14:paraId="2BE14F7A" w14:textId="036F21A1" w:rsidR="005F2B72" w:rsidRDefault="005F2B72" w:rsidP="0030686C">
            <w:pPr>
              <w:rPr>
                <w:sz w:val="20"/>
              </w:rPr>
            </w:pPr>
          </w:p>
          <w:p w14:paraId="56E8DD7F" w14:textId="565ACFF0" w:rsidR="003D2F42" w:rsidRDefault="00A5275D" w:rsidP="0030686C">
            <w:pPr>
              <w:rPr>
                <w:sz w:val="20"/>
              </w:rPr>
            </w:pPr>
            <w:r>
              <w:rPr>
                <w:sz w:val="20"/>
              </w:rPr>
              <w:t>060.</w:t>
            </w:r>
            <w:r w:rsidR="00A3308F" w:rsidRPr="00A3308F">
              <w:rPr>
                <w:sz w:val="20"/>
              </w:rPr>
              <w:t>5000</w:t>
            </w:r>
            <w:r>
              <w:rPr>
                <w:sz w:val="20"/>
              </w:rPr>
              <w:t>.</w:t>
            </w:r>
            <w:r w:rsidR="00A3308F" w:rsidRPr="00A3308F">
              <w:rPr>
                <w:sz w:val="20"/>
              </w:rPr>
              <w:t>060</w:t>
            </w:r>
          </w:p>
          <w:p w14:paraId="50A198A9" w14:textId="77777777" w:rsidR="00403F6D" w:rsidRDefault="00403F6D" w:rsidP="0030686C">
            <w:pPr>
              <w:rPr>
                <w:sz w:val="20"/>
              </w:rPr>
            </w:pPr>
          </w:p>
          <w:p w14:paraId="5F9C310F" w14:textId="77777777" w:rsidR="00403F6D" w:rsidRDefault="00403F6D" w:rsidP="0030686C">
            <w:pPr>
              <w:rPr>
                <w:sz w:val="20"/>
              </w:rPr>
            </w:pPr>
          </w:p>
          <w:p w14:paraId="7DB2D455" w14:textId="1D4D308D" w:rsidR="00E26D81" w:rsidRPr="00A3308F" w:rsidRDefault="00A5275D" w:rsidP="0030686C">
            <w:pPr>
              <w:rPr>
                <w:sz w:val="16"/>
              </w:rPr>
            </w:pPr>
            <w:r>
              <w:rPr>
                <w:sz w:val="20"/>
              </w:rPr>
              <w:t>060.</w:t>
            </w:r>
            <w:r w:rsidR="003D2F42">
              <w:rPr>
                <w:sz w:val="20"/>
              </w:rPr>
              <w:t>5000</w:t>
            </w:r>
            <w:r>
              <w:rPr>
                <w:sz w:val="20"/>
              </w:rPr>
              <w:t>.</w:t>
            </w:r>
            <w:bookmarkStart w:id="0" w:name="_GoBack"/>
            <w:bookmarkEnd w:id="0"/>
            <w:r w:rsidR="003D2F42">
              <w:rPr>
                <w:sz w:val="20"/>
              </w:rPr>
              <w:t>061</w:t>
            </w:r>
          </w:p>
          <w:p w14:paraId="5088B8FD" w14:textId="77777777" w:rsidR="00E26D81" w:rsidRDefault="00E26D81" w:rsidP="0030686C">
            <w:pPr>
              <w:rPr>
                <w:sz w:val="20"/>
              </w:rPr>
            </w:pPr>
          </w:p>
          <w:p w14:paraId="282DA258" w14:textId="1C1BE25E" w:rsidR="00E26D81" w:rsidRDefault="00E26D81" w:rsidP="0030686C">
            <w:pPr>
              <w:rPr>
                <w:sz w:val="20"/>
              </w:rPr>
            </w:pPr>
            <w:r>
              <w:rPr>
                <w:sz w:val="20"/>
              </w:rPr>
              <w:t>5040</w:t>
            </w:r>
            <w:r w:rsidR="00403F6D">
              <w:rPr>
                <w:sz w:val="20"/>
              </w:rPr>
              <w:t xml:space="preserve"> </w:t>
            </w:r>
            <w:r>
              <w:rPr>
                <w:sz w:val="20"/>
              </w:rPr>
              <w:t>5015</w:t>
            </w:r>
          </w:p>
        </w:tc>
        <w:tc>
          <w:tcPr>
            <w:tcW w:w="1701" w:type="dxa"/>
          </w:tcPr>
          <w:p w14:paraId="79B9DB0A" w14:textId="77777777" w:rsidR="005F2B72" w:rsidRDefault="005F2B72" w:rsidP="0030686C">
            <w:pPr>
              <w:rPr>
                <w:sz w:val="20"/>
              </w:rPr>
            </w:pPr>
          </w:p>
          <w:p w14:paraId="6A14FD00" w14:textId="77777777" w:rsidR="00600CF0" w:rsidRDefault="007B59B0" w:rsidP="0030686C">
            <w:pPr>
              <w:rPr>
                <w:sz w:val="20"/>
              </w:rPr>
            </w:pPr>
            <w:r>
              <w:rPr>
                <w:sz w:val="20"/>
              </w:rPr>
              <w:t>Sozialamt</w:t>
            </w:r>
          </w:p>
        </w:tc>
        <w:tc>
          <w:tcPr>
            <w:tcW w:w="851" w:type="dxa"/>
          </w:tcPr>
          <w:p w14:paraId="423AD845" w14:textId="77777777" w:rsidR="00600CF0" w:rsidRDefault="00600CF0" w:rsidP="0030686C">
            <w:pPr>
              <w:rPr>
                <w:sz w:val="20"/>
              </w:rPr>
            </w:pPr>
          </w:p>
          <w:p w14:paraId="739AA6BB" w14:textId="77777777" w:rsidR="00403F6D" w:rsidRDefault="005F2B72" w:rsidP="00AC18F9">
            <w:pPr>
              <w:rPr>
                <w:sz w:val="20"/>
              </w:rPr>
            </w:pPr>
            <w:r>
              <w:rPr>
                <w:sz w:val="20"/>
              </w:rPr>
              <w:t>EG</w:t>
            </w:r>
            <w:r w:rsidR="00403F6D">
              <w:rPr>
                <w:sz w:val="20"/>
              </w:rPr>
              <w:t xml:space="preserve"> </w:t>
            </w:r>
            <w:r>
              <w:rPr>
                <w:sz w:val="20"/>
              </w:rPr>
              <w:t>10</w:t>
            </w:r>
          </w:p>
          <w:p w14:paraId="626A59B1" w14:textId="77777777" w:rsidR="00403F6D" w:rsidRDefault="00403F6D" w:rsidP="00AC18F9">
            <w:pPr>
              <w:rPr>
                <w:sz w:val="20"/>
              </w:rPr>
            </w:pPr>
          </w:p>
          <w:p w14:paraId="0612F594" w14:textId="77777777" w:rsidR="00403F6D" w:rsidRDefault="00403F6D" w:rsidP="00AC18F9">
            <w:pPr>
              <w:rPr>
                <w:sz w:val="20"/>
              </w:rPr>
            </w:pPr>
          </w:p>
          <w:p w14:paraId="66879ECA" w14:textId="4AC04C41" w:rsidR="005F2B72" w:rsidRDefault="00403F6D" w:rsidP="00AC18F9">
            <w:pPr>
              <w:rPr>
                <w:sz w:val="20"/>
              </w:rPr>
            </w:pPr>
            <w:r>
              <w:rPr>
                <w:sz w:val="20"/>
              </w:rPr>
              <w:t>EG 10</w:t>
            </w:r>
            <w:r w:rsidR="005F2B72">
              <w:rPr>
                <w:sz w:val="20"/>
              </w:rPr>
              <w:t xml:space="preserve"> </w:t>
            </w:r>
          </w:p>
        </w:tc>
        <w:tc>
          <w:tcPr>
            <w:tcW w:w="1701" w:type="dxa"/>
          </w:tcPr>
          <w:p w14:paraId="7BE38F69" w14:textId="77777777" w:rsidR="005F2B72" w:rsidRDefault="005F2B72" w:rsidP="0030686C">
            <w:pPr>
              <w:rPr>
                <w:sz w:val="20"/>
              </w:rPr>
            </w:pPr>
          </w:p>
          <w:p w14:paraId="3CC2A8BC" w14:textId="77777777" w:rsidR="00600CF0" w:rsidRDefault="00403F6D" w:rsidP="00403F6D">
            <w:pPr>
              <w:rPr>
                <w:sz w:val="20"/>
              </w:rPr>
            </w:pPr>
            <w:r>
              <w:rPr>
                <w:sz w:val="20"/>
              </w:rPr>
              <w:t>Sachbearbeiter/ -in</w:t>
            </w:r>
          </w:p>
          <w:p w14:paraId="2063DC2D" w14:textId="77777777" w:rsidR="00403F6D" w:rsidRDefault="00403F6D" w:rsidP="00403F6D">
            <w:pPr>
              <w:rPr>
                <w:sz w:val="20"/>
              </w:rPr>
            </w:pPr>
          </w:p>
          <w:p w14:paraId="2CC27CE9" w14:textId="12CFFC28" w:rsidR="00403F6D" w:rsidRDefault="00403F6D" w:rsidP="00403F6D">
            <w:pPr>
              <w:rPr>
                <w:sz w:val="20"/>
              </w:rPr>
            </w:pPr>
            <w:r>
              <w:rPr>
                <w:sz w:val="20"/>
              </w:rPr>
              <w:t>Sachbearbeiter/ -in</w:t>
            </w:r>
          </w:p>
        </w:tc>
        <w:tc>
          <w:tcPr>
            <w:tcW w:w="851" w:type="dxa"/>
            <w:shd w:val="pct12" w:color="auto" w:fill="FFFFFF"/>
          </w:tcPr>
          <w:p w14:paraId="3C3EB908" w14:textId="77777777" w:rsidR="005F2B72" w:rsidRDefault="005F2B72" w:rsidP="0030686C">
            <w:pPr>
              <w:rPr>
                <w:sz w:val="20"/>
              </w:rPr>
            </w:pPr>
          </w:p>
          <w:p w14:paraId="64DD5F14" w14:textId="77777777" w:rsidR="00600CF0" w:rsidRDefault="00403F6D" w:rsidP="0030686C">
            <w:pPr>
              <w:rPr>
                <w:sz w:val="20"/>
              </w:rPr>
            </w:pPr>
            <w:r>
              <w:rPr>
                <w:sz w:val="20"/>
              </w:rPr>
              <w:t>1</w:t>
            </w:r>
            <w:r w:rsidR="007B59B0" w:rsidRPr="00622EDF">
              <w:rPr>
                <w:sz w:val="20"/>
              </w:rPr>
              <w:t>,0</w:t>
            </w:r>
            <w:r w:rsidR="00E26D81">
              <w:rPr>
                <w:sz w:val="20"/>
              </w:rPr>
              <w:t>0</w:t>
            </w:r>
          </w:p>
          <w:p w14:paraId="4E488EF8" w14:textId="77777777" w:rsidR="00403F6D" w:rsidRDefault="00403F6D" w:rsidP="0030686C">
            <w:pPr>
              <w:rPr>
                <w:sz w:val="20"/>
              </w:rPr>
            </w:pPr>
          </w:p>
          <w:p w14:paraId="320260AC" w14:textId="77777777" w:rsidR="00403F6D" w:rsidRDefault="00403F6D" w:rsidP="0030686C">
            <w:pPr>
              <w:rPr>
                <w:sz w:val="20"/>
              </w:rPr>
            </w:pPr>
          </w:p>
          <w:p w14:paraId="4D4D3F32" w14:textId="1B956B78" w:rsidR="00403F6D" w:rsidRDefault="00403F6D" w:rsidP="0030686C">
            <w:pPr>
              <w:rPr>
                <w:sz w:val="20"/>
              </w:rPr>
            </w:pPr>
            <w:r>
              <w:rPr>
                <w:sz w:val="20"/>
              </w:rPr>
              <w:t>1,00</w:t>
            </w:r>
          </w:p>
        </w:tc>
        <w:tc>
          <w:tcPr>
            <w:tcW w:w="1213" w:type="dxa"/>
          </w:tcPr>
          <w:p w14:paraId="2B1A7699" w14:textId="77777777" w:rsidR="005F2B72" w:rsidRDefault="005F2B72" w:rsidP="0030686C">
            <w:pPr>
              <w:rPr>
                <w:sz w:val="20"/>
              </w:rPr>
            </w:pPr>
          </w:p>
          <w:p w14:paraId="314494F0" w14:textId="77777777" w:rsidR="00403F6D" w:rsidRDefault="00403F6D" w:rsidP="0030686C">
            <w:pPr>
              <w:rPr>
                <w:sz w:val="20"/>
              </w:rPr>
            </w:pPr>
            <w:r>
              <w:rPr>
                <w:sz w:val="20"/>
              </w:rPr>
              <w:t>31.12.2023</w:t>
            </w:r>
          </w:p>
          <w:p w14:paraId="3DBA74CC" w14:textId="77777777" w:rsidR="00403F6D" w:rsidRDefault="00403F6D" w:rsidP="0030686C">
            <w:pPr>
              <w:rPr>
                <w:b/>
                <w:sz w:val="20"/>
              </w:rPr>
            </w:pPr>
            <w:r w:rsidRPr="00403F6D">
              <w:rPr>
                <w:b/>
                <w:sz w:val="20"/>
              </w:rPr>
              <w:t>31.12.2027</w:t>
            </w:r>
          </w:p>
          <w:p w14:paraId="29F964C9" w14:textId="77777777" w:rsidR="00403F6D" w:rsidRDefault="00403F6D" w:rsidP="00403F6D">
            <w:pPr>
              <w:rPr>
                <w:sz w:val="20"/>
              </w:rPr>
            </w:pPr>
          </w:p>
          <w:p w14:paraId="351F7D5E" w14:textId="77777777" w:rsidR="00403F6D" w:rsidRDefault="00403F6D" w:rsidP="00403F6D">
            <w:pPr>
              <w:rPr>
                <w:sz w:val="20"/>
              </w:rPr>
            </w:pPr>
            <w:r>
              <w:rPr>
                <w:sz w:val="20"/>
              </w:rPr>
              <w:t>31.12.2023</w:t>
            </w:r>
          </w:p>
          <w:p w14:paraId="277E5275" w14:textId="14194F06" w:rsidR="00403F6D" w:rsidRPr="00403F6D" w:rsidRDefault="00403F6D" w:rsidP="00403F6D">
            <w:pPr>
              <w:rPr>
                <w:b/>
                <w:sz w:val="20"/>
              </w:rPr>
            </w:pPr>
            <w:r w:rsidRPr="00403F6D">
              <w:rPr>
                <w:b/>
                <w:sz w:val="20"/>
              </w:rPr>
              <w:t>31.12.2027</w:t>
            </w:r>
          </w:p>
        </w:tc>
        <w:tc>
          <w:tcPr>
            <w:tcW w:w="1509" w:type="dxa"/>
          </w:tcPr>
          <w:p w14:paraId="342E1E8F" w14:textId="77777777" w:rsidR="005F2B72" w:rsidRDefault="005F2B72" w:rsidP="0030686C">
            <w:pPr>
              <w:rPr>
                <w:sz w:val="20"/>
              </w:rPr>
            </w:pPr>
          </w:p>
        </w:tc>
      </w:tr>
    </w:tbl>
    <w:p w14:paraId="6FDE3A15" w14:textId="2F128E5C" w:rsidR="00A3308F" w:rsidRDefault="00A3308F" w:rsidP="00A3308F">
      <w:pPr>
        <w:pStyle w:val="berschrift2"/>
      </w:pPr>
    </w:p>
    <w:p w14:paraId="3B673403" w14:textId="77777777" w:rsidR="00A3308F" w:rsidRPr="006756DB" w:rsidRDefault="00A3308F" w:rsidP="00A3308F">
      <w:pPr>
        <w:rPr>
          <w:b/>
        </w:rPr>
      </w:pPr>
      <w:r w:rsidRPr="006756DB">
        <w:rPr>
          <w:b/>
        </w:rPr>
        <w:t>Antrag:</w:t>
      </w:r>
    </w:p>
    <w:p w14:paraId="01431EA7" w14:textId="77777777" w:rsidR="00A3308F" w:rsidRPr="006756DB" w:rsidRDefault="00A3308F" w:rsidP="00A3308F"/>
    <w:p w14:paraId="06FB8BB1" w14:textId="31760885" w:rsidR="00A3308F" w:rsidRDefault="00A3308F" w:rsidP="00A3308F">
      <w:r>
        <w:t xml:space="preserve">Der Verlängerung </w:t>
      </w:r>
      <w:r w:rsidR="003D2F42">
        <w:t>der o.</w:t>
      </w:r>
      <w:r w:rsidR="00403F6D">
        <w:t xml:space="preserve"> </w:t>
      </w:r>
      <w:r w:rsidR="003D2F42">
        <w:t>g</w:t>
      </w:r>
      <w:r w:rsidR="00A36509">
        <w:t>.</w:t>
      </w:r>
      <w:r>
        <w:t xml:space="preserve"> Ermächtigung</w:t>
      </w:r>
      <w:r w:rsidR="002D696A">
        <w:t>en</w:t>
      </w:r>
      <w:r>
        <w:t xml:space="preserve"> </w:t>
      </w:r>
      <w:r w:rsidRPr="006331EA">
        <w:t>(</w:t>
      </w:r>
      <w:r w:rsidR="003C2080">
        <w:t>GRDrs</w:t>
      </w:r>
      <w:r w:rsidR="00A5275D">
        <w:t>.</w:t>
      </w:r>
      <w:r w:rsidR="003C2080">
        <w:t xml:space="preserve"> 239/2022</w:t>
      </w:r>
      <w:r w:rsidRPr="006331EA">
        <w:t>)</w:t>
      </w:r>
      <w:r>
        <w:rPr>
          <w:rFonts w:ascii="Courier New" w:hAnsi="Courier New" w:cs="Courier New"/>
          <w:color w:val="000000"/>
          <w:sz w:val="18"/>
          <w:szCs w:val="18"/>
        </w:rPr>
        <w:t xml:space="preserve"> </w:t>
      </w:r>
      <w:r w:rsidR="003C2080">
        <w:t xml:space="preserve">für die Sachbearbeitung </w:t>
      </w:r>
      <w:r w:rsidR="003C2080" w:rsidRPr="003C2080">
        <w:t xml:space="preserve">Koordination des Bürgerschaftlichen Engagements für Geflüchtete </w:t>
      </w:r>
      <w:r w:rsidR="003C2080">
        <w:t xml:space="preserve">bis </w:t>
      </w:r>
      <w:r w:rsidR="00403F6D">
        <w:t>31.</w:t>
      </w:r>
      <w:r w:rsidR="003C2080">
        <w:t>12</w:t>
      </w:r>
      <w:r w:rsidR="00403F6D">
        <w:t>.</w:t>
      </w:r>
      <w:r>
        <w:t>202</w:t>
      </w:r>
      <w:r w:rsidR="003C2080">
        <w:t>7</w:t>
      </w:r>
      <w:r>
        <w:t xml:space="preserve"> wird zugestimmt.</w:t>
      </w:r>
    </w:p>
    <w:p w14:paraId="29D9CA50" w14:textId="77777777" w:rsidR="00403F6D" w:rsidRDefault="00403F6D" w:rsidP="00A3308F">
      <w:pPr>
        <w:pStyle w:val="berschrift2"/>
      </w:pPr>
    </w:p>
    <w:p w14:paraId="3224BA47" w14:textId="77777777" w:rsidR="00A3308F" w:rsidRPr="00666CE4" w:rsidRDefault="00A3308F" w:rsidP="00A3308F">
      <w:pPr>
        <w:pStyle w:val="berschrift2"/>
      </w:pPr>
      <w:r w:rsidRPr="00666CE4">
        <w:t>Begründung:</w:t>
      </w:r>
    </w:p>
    <w:p w14:paraId="460AF927" w14:textId="77777777" w:rsidR="00A3308F" w:rsidRDefault="00A3308F" w:rsidP="00A3308F"/>
    <w:p w14:paraId="2E053253" w14:textId="77777777" w:rsidR="0019242F" w:rsidRPr="003C2080" w:rsidRDefault="0019242F" w:rsidP="003C2080">
      <w:pPr>
        <w:autoSpaceDE w:val="0"/>
        <w:autoSpaceDN w:val="0"/>
        <w:adjustRightInd w:val="0"/>
        <w:jc w:val="both"/>
        <w:rPr>
          <w:rFonts w:cs="Arial"/>
        </w:rPr>
      </w:pPr>
      <w:r w:rsidRPr="003C2080">
        <w:rPr>
          <w:rFonts w:cs="Arial"/>
        </w:rPr>
        <w:t>Das Sozialamt verfügt über eine Vollzeitstelle zur Koordination des Bürgerschaftlichen</w:t>
      </w:r>
    </w:p>
    <w:p w14:paraId="186855DF" w14:textId="77777777" w:rsidR="0019242F" w:rsidRPr="003C2080" w:rsidRDefault="0019242F" w:rsidP="003C2080">
      <w:pPr>
        <w:autoSpaceDE w:val="0"/>
        <w:autoSpaceDN w:val="0"/>
        <w:adjustRightInd w:val="0"/>
        <w:jc w:val="both"/>
        <w:rPr>
          <w:rFonts w:cs="Arial"/>
        </w:rPr>
      </w:pPr>
      <w:r w:rsidRPr="003C2080">
        <w:rPr>
          <w:rFonts w:cs="Arial"/>
        </w:rPr>
        <w:t>Engagements in der Flüchtlingsarbeit, die in der Abteilung Sozialarbeit und Betreuungsbehörde angesiedelt ist. Mehrere Mitarbeitende aus dieser Abteilung verstärk</w:t>
      </w:r>
      <w:r w:rsidR="0065507F">
        <w:rPr>
          <w:rFonts w:cs="Arial"/>
        </w:rPr>
        <w:t>t</w:t>
      </w:r>
      <w:r w:rsidRPr="003C2080">
        <w:rPr>
          <w:rFonts w:cs="Arial"/>
        </w:rPr>
        <w:t>en</w:t>
      </w:r>
    </w:p>
    <w:p w14:paraId="75B31CEE" w14:textId="58510991" w:rsidR="0019242F" w:rsidRPr="003C2080" w:rsidRDefault="0019242F" w:rsidP="003C2080">
      <w:pPr>
        <w:autoSpaceDE w:val="0"/>
        <w:autoSpaceDN w:val="0"/>
        <w:adjustRightInd w:val="0"/>
        <w:jc w:val="both"/>
        <w:rPr>
          <w:rFonts w:ascii="CIDFont+F1" w:hAnsi="CIDFont+F1" w:cs="CIDFont+F1"/>
        </w:rPr>
      </w:pPr>
      <w:r w:rsidRPr="003C2080">
        <w:rPr>
          <w:rFonts w:cs="Arial"/>
        </w:rPr>
        <w:t xml:space="preserve">zurzeit die Aufgabenübernahme. Um das aufgebaute Engagement für die Geflüchteten aus der Ukraine weiter zu begleiten, </w:t>
      </w:r>
      <w:r w:rsidR="0065507F">
        <w:rPr>
          <w:rFonts w:cs="Arial"/>
        </w:rPr>
        <w:t>war</w:t>
      </w:r>
      <w:r w:rsidRPr="003C2080">
        <w:rPr>
          <w:rFonts w:cs="Arial"/>
        </w:rPr>
        <w:t xml:space="preserve"> zusätzliches Personal erforderlich. Da alle Engagierten nur zeitweise arbeiten, ist es wichtig, dass die Landeshauptstadt Stuttgart kontinuierliche Ansprechpersonen für das Bürgerschaftliche Engagement vorhält, die den Überblick haben und für alle Engagierten verlässliche Ansprechpersonen sind und die Kooperation im Netzwerk Ukraine sichern</w:t>
      </w:r>
      <w:r w:rsidR="003C2080">
        <w:rPr>
          <w:rFonts w:ascii="CIDFont+F1" w:hAnsi="CIDFont+F1" w:cs="CIDFont+F1"/>
        </w:rPr>
        <w:t xml:space="preserve"> (vgl. </w:t>
      </w:r>
      <w:r w:rsidR="003C2080">
        <w:t>GRDrs 239/2022</w:t>
      </w:r>
      <w:r w:rsidR="003C2080" w:rsidRPr="006331EA">
        <w:t>)</w:t>
      </w:r>
      <w:r w:rsidR="00403F6D">
        <w:t>.</w:t>
      </w:r>
    </w:p>
    <w:p w14:paraId="7369DD41" w14:textId="77777777" w:rsidR="003B5AB1" w:rsidRDefault="003B5AB1" w:rsidP="0019242F">
      <w:pPr>
        <w:autoSpaceDE w:val="0"/>
        <w:autoSpaceDN w:val="0"/>
        <w:adjustRightInd w:val="0"/>
        <w:rPr>
          <w:rFonts w:ascii="CIDFont+F1" w:hAnsi="CIDFont+F1" w:cs="CIDFont+F1"/>
          <w:color w:val="FF0000"/>
        </w:rPr>
      </w:pPr>
    </w:p>
    <w:p w14:paraId="3F59FE20" w14:textId="7E9F86D6" w:rsidR="009F0C0C" w:rsidRDefault="001022FA" w:rsidP="00884D6C">
      <w:r>
        <w:t>Es ist nach wie vor erforderlich</w:t>
      </w:r>
      <w:r w:rsidR="0020629D">
        <w:t>,</w:t>
      </w:r>
      <w:r>
        <w:t xml:space="preserve"> </w:t>
      </w:r>
      <w:r w:rsidR="005F2B72" w:rsidRPr="00EF63E9">
        <w:t xml:space="preserve">kontinuierliche Ansprechpersonen für </w:t>
      </w:r>
      <w:r w:rsidR="00BF703E">
        <w:t xml:space="preserve">engagierte Gruppen, Initiative, Netzwerke, Gemeinden und Einzelpersonen </w:t>
      </w:r>
      <w:r>
        <w:t>vorzuhalten</w:t>
      </w:r>
      <w:r w:rsidR="005F2B72" w:rsidRPr="00EF63E9">
        <w:t xml:space="preserve">, die </w:t>
      </w:r>
      <w:r w:rsidR="00BF703E">
        <w:t xml:space="preserve">als </w:t>
      </w:r>
      <w:r w:rsidR="005F2B72" w:rsidRPr="00EF63E9">
        <w:t>verlässliche Ansprechpersonen</w:t>
      </w:r>
      <w:r w:rsidR="00BF703E">
        <w:t>, Wissensvermittler</w:t>
      </w:r>
      <w:r w:rsidR="00403F6D">
        <w:t>/-</w:t>
      </w:r>
      <w:r w:rsidR="00BF703E">
        <w:t>innen und Koordinator</w:t>
      </w:r>
      <w:r w:rsidR="00403F6D">
        <w:t>en/-</w:t>
      </w:r>
      <w:r w:rsidR="00BF703E">
        <w:t xml:space="preserve">innen </w:t>
      </w:r>
      <w:r w:rsidR="005F2B72" w:rsidRPr="00EF63E9">
        <w:t>die Koopera</w:t>
      </w:r>
      <w:r w:rsidR="00BF703E">
        <w:t xml:space="preserve">tion im Netzwerk Ukraine fördern und </w:t>
      </w:r>
      <w:r w:rsidR="009F0C0C">
        <w:t xml:space="preserve">die Qualität des Engagements </w:t>
      </w:r>
      <w:r w:rsidR="00BF703E">
        <w:t>sichern</w:t>
      </w:r>
      <w:r w:rsidR="005F2B72" w:rsidRPr="00EF63E9">
        <w:t>.</w:t>
      </w:r>
      <w:r>
        <w:t xml:space="preserve"> </w:t>
      </w:r>
      <w:r w:rsidR="00BF703E">
        <w:t xml:space="preserve">Auch im Bereich des Engagements wird das Ziel verfolgt, die vorhandenen Strukturen zu verstetigen. </w:t>
      </w:r>
    </w:p>
    <w:p w14:paraId="7A76E0AC" w14:textId="77777777" w:rsidR="009F0C0C" w:rsidRDefault="009F0C0C" w:rsidP="00884D6C"/>
    <w:p w14:paraId="3D961887" w14:textId="77777777" w:rsidR="009F0C0C" w:rsidRDefault="009F0C0C" w:rsidP="009F0C0C">
      <w:r>
        <w:t>Folgende Aufgabenschwerpunkte sind zum jetzigen Zeitpunkt entsprechend vorgesehen:</w:t>
      </w:r>
    </w:p>
    <w:p w14:paraId="4237B834" w14:textId="77777777" w:rsidR="009F0C0C" w:rsidRDefault="009F0C0C" w:rsidP="009F0C0C">
      <w:pPr>
        <w:pStyle w:val="Listenabsatz"/>
        <w:numPr>
          <w:ilvl w:val="0"/>
          <w:numId w:val="7"/>
        </w:numPr>
      </w:pPr>
      <w:r>
        <w:lastRenderedPageBreak/>
        <w:t>Unterstützung und Vernetzung des Bürgerschaftlichen Engagements für und von</w:t>
      </w:r>
    </w:p>
    <w:p w14:paraId="6EA26F77" w14:textId="77777777" w:rsidR="009F0C0C" w:rsidRDefault="009F0C0C" w:rsidP="009F0C0C">
      <w:pPr>
        <w:pStyle w:val="Listenabsatz"/>
      </w:pPr>
      <w:r>
        <w:t>Ge</w:t>
      </w:r>
      <w:r>
        <w:rPr>
          <w:rFonts w:eastAsia="Arial" w:cs="Arial"/>
        </w:rPr>
        <w:t>fl</w:t>
      </w:r>
      <w:r>
        <w:rPr>
          <w:rFonts w:hint="eastAsia"/>
        </w:rPr>
        <w:t>ü</w:t>
      </w:r>
      <w:r>
        <w:t>chteten aus der Ukraine</w:t>
      </w:r>
    </w:p>
    <w:p w14:paraId="689B1A7E" w14:textId="77777777" w:rsidR="009F0C0C" w:rsidRDefault="009F0C0C" w:rsidP="00D734A5">
      <w:pPr>
        <w:pStyle w:val="Listenabsatz"/>
        <w:numPr>
          <w:ilvl w:val="0"/>
          <w:numId w:val="7"/>
        </w:numPr>
      </w:pPr>
      <w:r>
        <w:t>Engagementberatung von Initiativen, Vereinen, Trägern, Stiftungen und Unternehmen und Sicherung von Engagementstandards</w:t>
      </w:r>
    </w:p>
    <w:p w14:paraId="21545421" w14:textId="2EE67895" w:rsidR="009F0C0C" w:rsidRDefault="009F0C0C" w:rsidP="009F0C0C">
      <w:pPr>
        <w:pStyle w:val="Listenabsatz"/>
        <w:numPr>
          <w:ilvl w:val="0"/>
          <w:numId w:val="7"/>
        </w:numPr>
      </w:pPr>
      <w:r>
        <w:t>Koordination und Vermittlung von Ressourcen und V</w:t>
      </w:r>
      <w:r w:rsidR="00403F6D">
        <w:t>ernetzung von Akteuren/</w:t>
      </w:r>
      <w:r w:rsidR="00403F6D">
        <w:br/>
        <w:t>-</w:t>
      </w:r>
      <w:r>
        <w:t>innen</w:t>
      </w:r>
    </w:p>
    <w:p w14:paraId="3B2C2F3C" w14:textId="77777777" w:rsidR="009F0C0C" w:rsidRDefault="009F0C0C" w:rsidP="009F0C0C">
      <w:pPr>
        <w:pStyle w:val="Listenabsatz"/>
        <w:numPr>
          <w:ilvl w:val="0"/>
          <w:numId w:val="7"/>
        </w:numPr>
      </w:pPr>
      <w:r>
        <w:t>Organisation und Durchführung von Veranstaltungen</w:t>
      </w:r>
    </w:p>
    <w:p w14:paraId="291CE1F2" w14:textId="77777777" w:rsidR="009F0C0C" w:rsidRDefault="009F0C0C" w:rsidP="009F0C0C">
      <w:pPr>
        <w:pStyle w:val="Listenabsatz"/>
        <w:numPr>
          <w:ilvl w:val="0"/>
          <w:numId w:val="7"/>
        </w:numPr>
      </w:pPr>
      <w:r>
        <w:t>Förderung des Erfahrungsaustausches der Engagierten, zum Beispiel in Form</w:t>
      </w:r>
    </w:p>
    <w:p w14:paraId="5414CFE3" w14:textId="77777777" w:rsidR="009F0C0C" w:rsidRDefault="009F0C0C" w:rsidP="009F0C0C">
      <w:pPr>
        <w:pStyle w:val="Listenabsatz"/>
      </w:pPr>
      <w:r>
        <w:t>themenspezi</w:t>
      </w:r>
      <w:r>
        <w:rPr>
          <w:rFonts w:eastAsia="Arial" w:cs="Arial"/>
        </w:rPr>
        <w:t>f</w:t>
      </w:r>
      <w:r w:rsidR="001A6A90">
        <w:rPr>
          <w:rFonts w:eastAsia="Arial" w:cs="Arial"/>
        </w:rPr>
        <w:t>i</w:t>
      </w:r>
      <w:r>
        <w:t>scher Arbeitsgruppen und Beteiligung der Engagierten an der Ausgestaltung von Konzeptionsfragen</w:t>
      </w:r>
    </w:p>
    <w:p w14:paraId="3D78228A" w14:textId="77777777" w:rsidR="009F0C0C" w:rsidRDefault="009F0C0C" w:rsidP="009F0C0C">
      <w:pPr>
        <w:pStyle w:val="Listenabsatz"/>
        <w:numPr>
          <w:ilvl w:val="0"/>
          <w:numId w:val="7"/>
        </w:numPr>
      </w:pPr>
      <w:r>
        <w:t>Erstellung von Berichten und Präsentationen im Rahmen der Stadtverwaltung</w:t>
      </w:r>
    </w:p>
    <w:p w14:paraId="44D1D143" w14:textId="77777777" w:rsidR="009F0C0C" w:rsidRDefault="009F0C0C" w:rsidP="008C4FB8">
      <w:pPr>
        <w:pStyle w:val="Listenabsatz"/>
        <w:numPr>
          <w:ilvl w:val="0"/>
          <w:numId w:val="7"/>
        </w:numPr>
      </w:pPr>
      <w:r>
        <w:t xml:space="preserve">Vertretung des Aufgabenbereichs im fachlichen Feld und im gemeinsamen Netzwerk </w:t>
      </w:r>
      <w:r>
        <w:rPr>
          <w:rFonts w:hint="eastAsia"/>
        </w:rPr>
        <w:t>„</w:t>
      </w:r>
      <w:r w:rsidR="00D73193">
        <w:t>U</w:t>
      </w:r>
      <w:r>
        <w:t>kraine engagiert“</w:t>
      </w:r>
    </w:p>
    <w:p w14:paraId="4055DBF8" w14:textId="36C2A70B" w:rsidR="009F0C0C" w:rsidRDefault="009F0C0C" w:rsidP="00D3628B">
      <w:pPr>
        <w:pStyle w:val="Listenabsatz"/>
        <w:numPr>
          <w:ilvl w:val="0"/>
          <w:numId w:val="7"/>
        </w:numPr>
      </w:pPr>
      <w:r>
        <w:t>enge Zusammenarbeit mit den Sozialarbeiter</w:t>
      </w:r>
      <w:r w:rsidR="00403F6D">
        <w:t>n/-</w:t>
      </w:r>
      <w:r>
        <w:t>innen im gleichen Sachgebiet, gemeinsame Präsenz in o</w:t>
      </w:r>
      <w:r>
        <w:rPr>
          <w:rFonts w:eastAsia="Arial" w:cs="Arial"/>
        </w:rPr>
        <w:t>ff</w:t>
      </w:r>
      <w:r>
        <w:t>enen Räumen in den Stuttgarter Quartieren</w:t>
      </w:r>
    </w:p>
    <w:p w14:paraId="38E490C3" w14:textId="77777777" w:rsidR="009F0C0C" w:rsidRDefault="009F0C0C" w:rsidP="00307E6C"/>
    <w:p w14:paraId="3392503F" w14:textId="77777777" w:rsidR="00060355" w:rsidRDefault="00EF63E9" w:rsidP="009D413C">
      <w:r>
        <w:t xml:space="preserve">Bei der Versorgung von Geflüchteten aus der Ukraine handelt es sich um eine neue Aufgabe, die das Sozialamt seit dem </w:t>
      </w:r>
      <w:r w:rsidR="009D413C">
        <w:t xml:space="preserve">Krieg </w:t>
      </w:r>
      <w:r>
        <w:t>gegen die Ukraine und der daraus resultieren</w:t>
      </w:r>
      <w:r w:rsidR="009D413C">
        <w:t>den Anwendung der Massenzustrom</w:t>
      </w:r>
      <w:r>
        <w:t xml:space="preserve">richtlinie erfüllen muss. </w:t>
      </w:r>
    </w:p>
    <w:p w14:paraId="0F1D5EB3" w14:textId="77777777" w:rsidR="00F75C4C" w:rsidRDefault="00F75C4C" w:rsidP="009D413C"/>
    <w:p w14:paraId="74C6BC63" w14:textId="4E830169" w:rsidR="0065507F" w:rsidRDefault="0065507F" w:rsidP="009D413C">
      <w:r>
        <w:t>Da der Krieg gegen die Ukraine aktuell weiter anhält, sind weiterhin Ressourcen für die o.</w:t>
      </w:r>
      <w:r w:rsidR="00403F6D">
        <w:t xml:space="preserve"> </w:t>
      </w:r>
      <w:r>
        <w:t xml:space="preserve">g. Aufgabenerfüllung gebunden. Durch die Verlängerung </w:t>
      </w:r>
      <w:r w:rsidR="003D2F42">
        <w:t>der</w:t>
      </w:r>
      <w:r>
        <w:t xml:space="preserve"> Ermächtigung</w:t>
      </w:r>
      <w:r w:rsidR="003D2F42">
        <w:t>en</w:t>
      </w:r>
      <w:r>
        <w:t xml:space="preserve"> wird die Handlungsfähigkeit </w:t>
      </w:r>
      <w:r w:rsidR="003978C5">
        <w:t xml:space="preserve">während der andauernden Krise </w:t>
      </w:r>
      <w:r>
        <w:t>gesichert.</w:t>
      </w:r>
    </w:p>
    <w:sectPr w:rsidR="0065507F"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533E6" w14:textId="77777777" w:rsidR="00951B19" w:rsidRDefault="00951B19">
      <w:r>
        <w:separator/>
      </w:r>
    </w:p>
  </w:endnote>
  <w:endnote w:type="continuationSeparator" w:id="0">
    <w:p w14:paraId="50841566" w14:textId="77777777" w:rsidR="00951B19" w:rsidRDefault="0095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B139F" w14:textId="77777777" w:rsidR="00951B19" w:rsidRDefault="00951B19">
      <w:r>
        <w:separator/>
      </w:r>
    </w:p>
  </w:footnote>
  <w:footnote w:type="continuationSeparator" w:id="0">
    <w:p w14:paraId="40D0F9B7" w14:textId="77777777" w:rsidR="00951B19" w:rsidRDefault="0095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483C1" w14:textId="05A5036F"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A5275D">
      <w:rPr>
        <w:rStyle w:val="Seitenzahl"/>
        <w:noProof/>
      </w:rPr>
      <w:t>2</w:t>
    </w:r>
    <w:r w:rsidR="0072799A">
      <w:rPr>
        <w:rStyle w:val="Seitenzahl"/>
      </w:rPr>
      <w:fldChar w:fldCharType="end"/>
    </w:r>
    <w:r>
      <w:rPr>
        <w:rStyle w:val="Seitenzahl"/>
      </w:rPr>
      <w:t xml:space="preserve"> -</w:t>
    </w:r>
  </w:p>
  <w:p w14:paraId="218F280E"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BC2D41"/>
    <w:multiLevelType w:val="hybridMultilevel"/>
    <w:tmpl w:val="AA96A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AE071F"/>
    <w:multiLevelType w:val="hybridMultilevel"/>
    <w:tmpl w:val="DA989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3917606E"/>
    <w:multiLevelType w:val="hybridMultilevel"/>
    <w:tmpl w:val="2E805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6"/>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19"/>
    <w:rsid w:val="00026253"/>
    <w:rsid w:val="00055758"/>
    <w:rsid w:val="00060355"/>
    <w:rsid w:val="00061F0B"/>
    <w:rsid w:val="000A1146"/>
    <w:rsid w:val="001022FA"/>
    <w:rsid w:val="001034AF"/>
    <w:rsid w:val="0011112B"/>
    <w:rsid w:val="0014415D"/>
    <w:rsid w:val="00151488"/>
    <w:rsid w:val="00163034"/>
    <w:rsid w:val="00164678"/>
    <w:rsid w:val="00165C0D"/>
    <w:rsid w:val="00181857"/>
    <w:rsid w:val="00184EDC"/>
    <w:rsid w:val="0019242F"/>
    <w:rsid w:val="00194770"/>
    <w:rsid w:val="001A5F9B"/>
    <w:rsid w:val="001A6A90"/>
    <w:rsid w:val="001F7237"/>
    <w:rsid w:val="0020629D"/>
    <w:rsid w:val="00257257"/>
    <w:rsid w:val="002924CB"/>
    <w:rsid w:val="002A20D1"/>
    <w:rsid w:val="002A4DE3"/>
    <w:rsid w:val="002A6F6E"/>
    <w:rsid w:val="002B5955"/>
    <w:rsid w:val="002D696A"/>
    <w:rsid w:val="0030686C"/>
    <w:rsid w:val="00307E6C"/>
    <w:rsid w:val="00336701"/>
    <w:rsid w:val="00380937"/>
    <w:rsid w:val="00397717"/>
    <w:rsid w:val="003978C5"/>
    <w:rsid w:val="00397F20"/>
    <w:rsid w:val="003A542C"/>
    <w:rsid w:val="003B5AB1"/>
    <w:rsid w:val="003C2080"/>
    <w:rsid w:val="003D2F42"/>
    <w:rsid w:val="003D7B0B"/>
    <w:rsid w:val="003E0F4B"/>
    <w:rsid w:val="003F0FAA"/>
    <w:rsid w:val="003F15C6"/>
    <w:rsid w:val="00403F6D"/>
    <w:rsid w:val="0040419D"/>
    <w:rsid w:val="00470135"/>
    <w:rsid w:val="0047606A"/>
    <w:rsid w:val="004908B5"/>
    <w:rsid w:val="0049121B"/>
    <w:rsid w:val="004A1688"/>
    <w:rsid w:val="004B6796"/>
    <w:rsid w:val="004E5B01"/>
    <w:rsid w:val="005A0A9D"/>
    <w:rsid w:val="005A56AA"/>
    <w:rsid w:val="005E19C6"/>
    <w:rsid w:val="005F2B72"/>
    <w:rsid w:val="005F5B3D"/>
    <w:rsid w:val="00600CF0"/>
    <w:rsid w:val="00606F80"/>
    <w:rsid w:val="00622CC7"/>
    <w:rsid w:val="00622EDF"/>
    <w:rsid w:val="0065507F"/>
    <w:rsid w:val="006A406B"/>
    <w:rsid w:val="006B6D50"/>
    <w:rsid w:val="006E0575"/>
    <w:rsid w:val="0070411F"/>
    <w:rsid w:val="0072799A"/>
    <w:rsid w:val="00754659"/>
    <w:rsid w:val="007B59B0"/>
    <w:rsid w:val="007E3B79"/>
    <w:rsid w:val="008066EE"/>
    <w:rsid w:val="008151E7"/>
    <w:rsid w:val="00817BB6"/>
    <w:rsid w:val="008445A3"/>
    <w:rsid w:val="00884D6C"/>
    <w:rsid w:val="008A395F"/>
    <w:rsid w:val="00920F00"/>
    <w:rsid w:val="009373F6"/>
    <w:rsid w:val="00946276"/>
    <w:rsid w:val="00951B19"/>
    <w:rsid w:val="0096038F"/>
    <w:rsid w:val="00976588"/>
    <w:rsid w:val="0099014E"/>
    <w:rsid w:val="009D413C"/>
    <w:rsid w:val="009E79AA"/>
    <w:rsid w:val="009F0C0C"/>
    <w:rsid w:val="00A27CA7"/>
    <w:rsid w:val="00A3308F"/>
    <w:rsid w:val="00A36509"/>
    <w:rsid w:val="00A45B30"/>
    <w:rsid w:val="00A5275D"/>
    <w:rsid w:val="00A5515B"/>
    <w:rsid w:val="00A71D0A"/>
    <w:rsid w:val="00A77F1E"/>
    <w:rsid w:val="00A847C4"/>
    <w:rsid w:val="00AB389D"/>
    <w:rsid w:val="00AC18F9"/>
    <w:rsid w:val="00AE7B02"/>
    <w:rsid w:val="00AF0DEA"/>
    <w:rsid w:val="00AF25E0"/>
    <w:rsid w:val="00B04290"/>
    <w:rsid w:val="00B80DEF"/>
    <w:rsid w:val="00B86BB5"/>
    <w:rsid w:val="00B91903"/>
    <w:rsid w:val="00BC4669"/>
    <w:rsid w:val="00BE2812"/>
    <w:rsid w:val="00BF703E"/>
    <w:rsid w:val="00C12D4D"/>
    <w:rsid w:val="00C16EF1"/>
    <w:rsid w:val="00C448D3"/>
    <w:rsid w:val="00C45482"/>
    <w:rsid w:val="00CF62E5"/>
    <w:rsid w:val="00D251A0"/>
    <w:rsid w:val="00D44104"/>
    <w:rsid w:val="00D66D3A"/>
    <w:rsid w:val="00D73193"/>
    <w:rsid w:val="00D743D4"/>
    <w:rsid w:val="00D86FA7"/>
    <w:rsid w:val="00DB1037"/>
    <w:rsid w:val="00DB3D6C"/>
    <w:rsid w:val="00DE362D"/>
    <w:rsid w:val="00E014B6"/>
    <w:rsid w:val="00E1162F"/>
    <w:rsid w:val="00E11D5F"/>
    <w:rsid w:val="00E20E1F"/>
    <w:rsid w:val="00E26D81"/>
    <w:rsid w:val="00E42F96"/>
    <w:rsid w:val="00E7118F"/>
    <w:rsid w:val="00EF63E9"/>
    <w:rsid w:val="00F24F1D"/>
    <w:rsid w:val="00F27657"/>
    <w:rsid w:val="00F342DC"/>
    <w:rsid w:val="00F56F93"/>
    <w:rsid w:val="00F63041"/>
    <w:rsid w:val="00F75C4C"/>
    <w:rsid w:val="00F76452"/>
    <w:rsid w:val="00F77191"/>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36B63"/>
  <w15:docId w15:val="{0FA0F838-58CC-43B2-B1D4-AB4B4A4E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9F0C0C"/>
    <w:pPr>
      <w:ind w:left="720"/>
      <w:contextualSpacing/>
    </w:pPr>
  </w:style>
  <w:style w:type="character" w:styleId="Kommentarzeichen">
    <w:name w:val="annotation reference"/>
    <w:basedOn w:val="Absatz-Standardschriftart"/>
    <w:semiHidden/>
    <w:unhideWhenUsed/>
    <w:rsid w:val="0065507F"/>
    <w:rPr>
      <w:sz w:val="16"/>
      <w:szCs w:val="16"/>
    </w:rPr>
  </w:style>
  <w:style w:type="paragraph" w:styleId="Kommentartext">
    <w:name w:val="annotation text"/>
    <w:basedOn w:val="Standard"/>
    <w:link w:val="KommentartextZchn"/>
    <w:semiHidden/>
    <w:unhideWhenUsed/>
    <w:rsid w:val="0065507F"/>
    <w:rPr>
      <w:sz w:val="20"/>
      <w:szCs w:val="20"/>
    </w:rPr>
  </w:style>
  <w:style w:type="character" w:customStyle="1" w:styleId="KommentartextZchn">
    <w:name w:val="Kommentartext Zchn"/>
    <w:basedOn w:val="Absatz-Standardschriftart"/>
    <w:link w:val="Kommentartext"/>
    <w:semiHidden/>
    <w:rsid w:val="0065507F"/>
    <w:rPr>
      <w:sz w:val="20"/>
      <w:szCs w:val="20"/>
    </w:rPr>
  </w:style>
  <w:style w:type="paragraph" w:styleId="Kommentarthema">
    <w:name w:val="annotation subject"/>
    <w:basedOn w:val="Kommentartext"/>
    <w:next w:val="Kommentartext"/>
    <w:link w:val="KommentarthemaZchn"/>
    <w:semiHidden/>
    <w:unhideWhenUsed/>
    <w:rsid w:val="0065507F"/>
    <w:rPr>
      <w:b/>
      <w:bCs/>
    </w:rPr>
  </w:style>
  <w:style w:type="character" w:customStyle="1" w:styleId="KommentarthemaZchn">
    <w:name w:val="Kommentarthema Zchn"/>
    <w:basedOn w:val="KommentartextZchn"/>
    <w:link w:val="Kommentarthema"/>
    <w:semiHidden/>
    <w:rsid w:val="0065507F"/>
    <w:rPr>
      <w:b/>
      <w:bCs/>
      <w:sz w:val="20"/>
      <w:szCs w:val="20"/>
    </w:rPr>
  </w:style>
  <w:style w:type="paragraph" w:styleId="Sprechblasentext">
    <w:name w:val="Balloon Text"/>
    <w:basedOn w:val="Standard"/>
    <w:link w:val="SprechblasentextZchn"/>
    <w:semiHidden/>
    <w:unhideWhenUsed/>
    <w:rsid w:val="0065507F"/>
    <w:rPr>
      <w:rFonts w:ascii="Segoe UI" w:hAnsi="Segoe UI" w:cs="Segoe UI"/>
      <w:sz w:val="18"/>
      <w:szCs w:val="18"/>
    </w:rPr>
  </w:style>
  <w:style w:type="character" w:customStyle="1" w:styleId="SprechblasentextZchn">
    <w:name w:val="Sprechblasentext Zchn"/>
    <w:basedOn w:val="Absatz-Standardschriftart"/>
    <w:link w:val="Sprechblasentext"/>
    <w:semiHidden/>
    <w:rsid w:val="00655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0A070\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CDECF-FFF8-43BB-B01B-D0957EBA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388</Words>
  <Characters>2856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Sodenkamp, Anja</dc:creator>
  <cp:lastModifiedBy>Baumann, Gerhard</cp:lastModifiedBy>
  <cp:revision>15</cp:revision>
  <cp:lastPrinted>2012-11-15T10:58:00Z</cp:lastPrinted>
  <dcterms:created xsi:type="dcterms:W3CDTF">2023-01-04T09:42:00Z</dcterms:created>
  <dcterms:modified xsi:type="dcterms:W3CDTF">2023-10-06T09:22:00Z</dcterms:modified>
</cp:coreProperties>
</file>