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CF8" w:rsidRDefault="00A56AA9">
      <w:pPr>
        <w:jc w:val="right"/>
      </w:pPr>
      <w:r>
        <w:t xml:space="preserve">Anlage </w:t>
      </w:r>
      <w:r w:rsidR="007C574A">
        <w:t>17</w:t>
      </w:r>
      <w:r>
        <w:t xml:space="preserve"> zur GRDrs</w:t>
      </w:r>
      <w:r w:rsidR="00235CDC">
        <w:t>.</w:t>
      </w:r>
      <w:r>
        <w:t xml:space="preserve"> </w:t>
      </w:r>
      <w:r w:rsidR="00235CDC">
        <w:t>823</w:t>
      </w:r>
      <w:r>
        <w:t>/2023</w:t>
      </w:r>
    </w:p>
    <w:p w:rsidR="002E1CF8" w:rsidRDefault="002E1CF8"/>
    <w:p w:rsidR="002E1CF8" w:rsidRDefault="002E1CF8"/>
    <w:p w:rsidR="002E1CF8" w:rsidRDefault="00A56AA9">
      <w:pPr>
        <w:pStyle w:val="berschrift1"/>
        <w:tabs>
          <w:tab w:val="clear" w:pos="6521"/>
        </w:tabs>
      </w:pPr>
      <w:r>
        <w:t>We</w:t>
      </w:r>
      <w:r>
        <w:rPr>
          <w:u w:val="none"/>
        </w:rPr>
        <w:t>g</w:t>
      </w:r>
      <w:r>
        <w:t>fall eines Stellenvermerks</w:t>
      </w:r>
      <w:r>
        <w:br/>
        <w:t>zum Stellenplan 2024</w:t>
      </w:r>
    </w:p>
    <w:p w:rsidR="002E1CF8" w:rsidRDefault="002E1CF8"/>
    <w:p w:rsidR="002E1CF8" w:rsidRDefault="002E1CF8"/>
    <w:tbl>
      <w:tblPr>
        <w:tblW w:w="9527" w:type="dxa"/>
        <w:tblInd w:w="-85" w:type="dxa"/>
        <w:tblLayout w:type="fixed"/>
        <w:tblCellMar>
          <w:left w:w="85" w:type="dxa"/>
          <w:right w:w="85" w:type="dxa"/>
        </w:tblCellMar>
        <w:tblLook w:val="0000" w:firstRow="0" w:lastRow="0" w:firstColumn="0" w:lastColumn="0" w:noHBand="0" w:noVBand="0"/>
      </w:tblPr>
      <w:tblGrid>
        <w:gridCol w:w="1701"/>
        <w:gridCol w:w="1702"/>
        <w:gridCol w:w="850"/>
        <w:gridCol w:w="1702"/>
        <w:gridCol w:w="851"/>
        <w:gridCol w:w="1133"/>
        <w:gridCol w:w="1588"/>
      </w:tblGrid>
      <w:tr w:rsidR="002E1CF8">
        <w:trPr>
          <w:tblHeader/>
        </w:trPr>
        <w:tc>
          <w:tcPr>
            <w:tcW w:w="1700" w:type="dxa"/>
            <w:tcBorders>
              <w:top w:val="single" w:sz="4" w:space="0" w:color="000000"/>
              <w:left w:val="single" w:sz="4" w:space="0" w:color="000000"/>
              <w:bottom w:val="single" w:sz="4" w:space="0" w:color="000000"/>
              <w:right w:val="single" w:sz="4" w:space="0" w:color="000000"/>
            </w:tcBorders>
            <w:shd w:val="pct12" w:color="auto" w:fill="FFFFFF"/>
          </w:tcPr>
          <w:p w:rsidR="002E1CF8" w:rsidRDefault="00A56AA9">
            <w:pPr>
              <w:widowControl w:val="0"/>
              <w:spacing w:before="120" w:after="120" w:line="200" w:lineRule="exact"/>
              <w:rPr>
                <w:sz w:val="16"/>
                <w:szCs w:val="16"/>
              </w:rPr>
            </w:pPr>
            <w:r>
              <w:rPr>
                <w:sz w:val="16"/>
                <w:szCs w:val="16"/>
              </w:rPr>
              <w:t>Stellennummer,</w:t>
            </w:r>
          </w:p>
          <w:p w:rsidR="002E1CF8" w:rsidRDefault="00A56AA9">
            <w:pPr>
              <w:widowControl w:val="0"/>
              <w:spacing w:before="120" w:after="120" w:line="200" w:lineRule="exact"/>
              <w:rPr>
                <w:sz w:val="16"/>
                <w:szCs w:val="16"/>
              </w:rPr>
            </w:pPr>
            <w:r>
              <w:rPr>
                <w:sz w:val="16"/>
                <w:szCs w:val="16"/>
              </w:rPr>
              <w:t>Kostenstelle</w:t>
            </w:r>
          </w:p>
        </w:tc>
        <w:tc>
          <w:tcPr>
            <w:tcW w:w="1702" w:type="dxa"/>
            <w:tcBorders>
              <w:top w:val="single" w:sz="4" w:space="0" w:color="000000"/>
              <w:left w:val="single" w:sz="4" w:space="0" w:color="000000"/>
              <w:bottom w:val="single" w:sz="4" w:space="0" w:color="000000"/>
              <w:right w:val="single" w:sz="4" w:space="0" w:color="000000"/>
            </w:tcBorders>
            <w:shd w:val="pct12" w:color="auto" w:fill="FFFFFF"/>
          </w:tcPr>
          <w:p w:rsidR="002E1CF8" w:rsidRDefault="00A56AA9">
            <w:pPr>
              <w:widowControl w:val="0"/>
              <w:spacing w:before="120" w:after="120" w:line="200" w:lineRule="exact"/>
              <w:rPr>
                <w:sz w:val="16"/>
                <w:szCs w:val="16"/>
              </w:rPr>
            </w:pPr>
            <w:r>
              <w:rPr>
                <w:sz w:val="16"/>
                <w:szCs w:val="16"/>
              </w:rPr>
              <w:t>Amt</w:t>
            </w:r>
          </w:p>
        </w:tc>
        <w:tc>
          <w:tcPr>
            <w:tcW w:w="850" w:type="dxa"/>
            <w:tcBorders>
              <w:top w:val="single" w:sz="4" w:space="0" w:color="000000"/>
              <w:left w:val="single" w:sz="4" w:space="0" w:color="000000"/>
              <w:bottom w:val="single" w:sz="4" w:space="0" w:color="000000"/>
              <w:right w:val="single" w:sz="4" w:space="0" w:color="000000"/>
            </w:tcBorders>
            <w:shd w:val="pct12" w:color="auto" w:fill="FFFFFF"/>
          </w:tcPr>
          <w:p w:rsidR="002E1CF8" w:rsidRDefault="00A56AA9">
            <w:pPr>
              <w:widowControl w:val="0"/>
              <w:spacing w:before="120" w:after="120" w:line="200" w:lineRule="exact"/>
              <w:rPr>
                <w:sz w:val="16"/>
                <w:szCs w:val="16"/>
              </w:rPr>
            </w:pPr>
            <w:r>
              <w:rPr>
                <w:sz w:val="16"/>
                <w:szCs w:val="16"/>
              </w:rPr>
              <w:t>BesGr.</w:t>
            </w:r>
          </w:p>
          <w:p w:rsidR="002E1CF8" w:rsidRDefault="00A56AA9">
            <w:pPr>
              <w:widowControl w:val="0"/>
              <w:spacing w:before="120" w:after="120" w:line="200" w:lineRule="exact"/>
              <w:rPr>
                <w:sz w:val="16"/>
                <w:szCs w:val="16"/>
              </w:rPr>
            </w:pPr>
            <w:r>
              <w:rPr>
                <w:sz w:val="16"/>
                <w:szCs w:val="16"/>
              </w:rPr>
              <w:t>oder</w:t>
            </w:r>
          </w:p>
          <w:p w:rsidR="002E1CF8" w:rsidRDefault="00A56AA9">
            <w:pPr>
              <w:widowControl w:val="0"/>
              <w:spacing w:before="120" w:after="120" w:line="200" w:lineRule="exact"/>
              <w:rPr>
                <w:sz w:val="16"/>
                <w:szCs w:val="16"/>
              </w:rPr>
            </w:pPr>
            <w:r>
              <w:rPr>
                <w:sz w:val="16"/>
                <w:szCs w:val="16"/>
              </w:rPr>
              <w:t>EG</w:t>
            </w:r>
          </w:p>
        </w:tc>
        <w:tc>
          <w:tcPr>
            <w:tcW w:w="1702" w:type="dxa"/>
            <w:tcBorders>
              <w:top w:val="single" w:sz="4" w:space="0" w:color="000000"/>
              <w:left w:val="single" w:sz="4" w:space="0" w:color="000000"/>
              <w:bottom w:val="single" w:sz="4" w:space="0" w:color="000000"/>
              <w:right w:val="single" w:sz="4" w:space="0" w:color="000000"/>
            </w:tcBorders>
            <w:shd w:val="pct12" w:color="auto" w:fill="FFFFFF"/>
          </w:tcPr>
          <w:p w:rsidR="002E1CF8" w:rsidRDefault="00A56AA9">
            <w:pPr>
              <w:widowControl w:val="0"/>
              <w:spacing w:before="120" w:after="120" w:line="200" w:lineRule="exact"/>
              <w:rPr>
                <w:sz w:val="16"/>
                <w:szCs w:val="16"/>
              </w:rPr>
            </w:pPr>
            <w:r>
              <w:rPr>
                <w:sz w:val="16"/>
                <w:szCs w:val="16"/>
              </w:rPr>
              <w:t>Funktions-</w:t>
            </w:r>
            <w:r>
              <w:rPr>
                <w:sz w:val="16"/>
                <w:szCs w:val="16"/>
              </w:rPr>
              <w:br/>
              <w:t>bezeichnung</w:t>
            </w:r>
          </w:p>
        </w:tc>
        <w:tc>
          <w:tcPr>
            <w:tcW w:w="851" w:type="dxa"/>
            <w:tcBorders>
              <w:top w:val="single" w:sz="4" w:space="0" w:color="000000"/>
              <w:left w:val="single" w:sz="4" w:space="0" w:color="000000"/>
              <w:bottom w:val="single" w:sz="4" w:space="0" w:color="000000"/>
              <w:right w:val="single" w:sz="4" w:space="0" w:color="000000"/>
            </w:tcBorders>
            <w:shd w:val="pct12" w:color="auto" w:fill="FFFFFF"/>
          </w:tcPr>
          <w:p w:rsidR="002E1CF8" w:rsidRDefault="00A56AA9">
            <w:pPr>
              <w:widowControl w:val="0"/>
              <w:spacing w:before="120" w:after="120" w:line="200" w:lineRule="exact"/>
              <w:rPr>
                <w:sz w:val="16"/>
                <w:szCs w:val="16"/>
              </w:rPr>
            </w:pPr>
            <w:r>
              <w:rPr>
                <w:sz w:val="16"/>
                <w:szCs w:val="16"/>
              </w:rPr>
              <w:t>Anzahl</w:t>
            </w:r>
            <w:r>
              <w:rPr>
                <w:sz w:val="16"/>
                <w:szCs w:val="16"/>
              </w:rPr>
              <w:br/>
              <w:t>der</w:t>
            </w:r>
            <w:r>
              <w:rPr>
                <w:sz w:val="16"/>
                <w:szCs w:val="16"/>
              </w:rPr>
              <w:br/>
              <w:t>Stellen</w:t>
            </w:r>
          </w:p>
        </w:tc>
        <w:tc>
          <w:tcPr>
            <w:tcW w:w="1133" w:type="dxa"/>
            <w:tcBorders>
              <w:top w:val="single" w:sz="4" w:space="0" w:color="000000"/>
              <w:left w:val="single" w:sz="4" w:space="0" w:color="000000"/>
              <w:bottom w:val="single" w:sz="4" w:space="0" w:color="000000"/>
              <w:right w:val="single" w:sz="4" w:space="0" w:color="000000"/>
            </w:tcBorders>
            <w:shd w:val="pct12" w:color="auto" w:fill="FFFFFF"/>
          </w:tcPr>
          <w:p w:rsidR="002E1CF8" w:rsidRDefault="00A56AA9">
            <w:pPr>
              <w:widowControl w:val="0"/>
              <w:spacing w:before="120" w:after="120" w:line="200" w:lineRule="exact"/>
              <w:rPr>
                <w:sz w:val="16"/>
                <w:szCs w:val="16"/>
              </w:rPr>
            </w:pPr>
            <w:r>
              <w:rPr>
                <w:sz w:val="16"/>
                <w:szCs w:val="16"/>
              </w:rPr>
              <w:t>bisheriger</w:t>
            </w:r>
            <w:r>
              <w:rPr>
                <w:sz w:val="16"/>
                <w:szCs w:val="16"/>
              </w:rPr>
              <w:br/>
              <w:t>Stellen-</w:t>
            </w:r>
            <w:r>
              <w:rPr>
                <w:sz w:val="16"/>
                <w:szCs w:val="16"/>
              </w:rPr>
              <w:br/>
              <w:t>vermerk</w:t>
            </w:r>
          </w:p>
        </w:tc>
        <w:tc>
          <w:tcPr>
            <w:tcW w:w="1588" w:type="dxa"/>
            <w:tcBorders>
              <w:top w:val="single" w:sz="4" w:space="0" w:color="000000"/>
              <w:left w:val="single" w:sz="4" w:space="0" w:color="000000"/>
              <w:bottom w:val="single" w:sz="4" w:space="0" w:color="000000"/>
              <w:right w:val="single" w:sz="4" w:space="0" w:color="000000"/>
            </w:tcBorders>
            <w:shd w:val="pct12" w:color="auto" w:fill="FFFFFF"/>
          </w:tcPr>
          <w:p w:rsidR="002E1CF8" w:rsidRDefault="00A56AA9">
            <w:pPr>
              <w:widowControl w:val="0"/>
              <w:spacing w:before="120" w:after="120" w:line="200" w:lineRule="exact"/>
              <w:rPr>
                <w:sz w:val="16"/>
                <w:szCs w:val="16"/>
              </w:rPr>
            </w:pPr>
            <w:r>
              <w:rPr>
                <w:sz w:val="16"/>
                <w:szCs w:val="16"/>
              </w:rPr>
              <w:t>durchschnittlicher</w:t>
            </w:r>
            <w:r>
              <w:rPr>
                <w:sz w:val="16"/>
                <w:szCs w:val="16"/>
              </w:rPr>
              <w:br/>
              <w:t>jährlicher</w:t>
            </w:r>
            <w:r>
              <w:rPr>
                <w:sz w:val="16"/>
                <w:szCs w:val="16"/>
              </w:rPr>
              <w:br/>
              <w:t>kostenwirksamer</w:t>
            </w:r>
            <w:r>
              <w:rPr>
                <w:sz w:val="16"/>
                <w:szCs w:val="16"/>
              </w:rPr>
              <w:br/>
              <w:t>Aufwand</w:t>
            </w:r>
            <w:r>
              <w:rPr>
                <w:sz w:val="16"/>
                <w:szCs w:val="16"/>
              </w:rPr>
              <w:br/>
              <w:t>in Euro</w:t>
            </w:r>
          </w:p>
        </w:tc>
      </w:tr>
      <w:tr w:rsidR="002E1CF8">
        <w:tc>
          <w:tcPr>
            <w:tcW w:w="1700" w:type="dxa"/>
            <w:tcBorders>
              <w:top w:val="single" w:sz="4" w:space="0" w:color="000000"/>
              <w:left w:val="single" w:sz="4" w:space="0" w:color="000000"/>
              <w:bottom w:val="single" w:sz="4" w:space="0" w:color="000000"/>
              <w:right w:val="single" w:sz="4" w:space="0" w:color="000000"/>
            </w:tcBorders>
          </w:tcPr>
          <w:p w:rsidR="002E1CF8" w:rsidRDefault="002E1CF8">
            <w:pPr>
              <w:widowControl w:val="0"/>
              <w:rPr>
                <w:sz w:val="20"/>
              </w:rPr>
            </w:pPr>
          </w:p>
          <w:p w:rsidR="002E1CF8" w:rsidRDefault="00A56AA9">
            <w:pPr>
              <w:widowControl w:val="0"/>
              <w:rPr>
                <w:sz w:val="20"/>
                <w:szCs w:val="18"/>
              </w:rPr>
            </w:pPr>
            <w:r w:rsidRPr="00BA6061">
              <w:rPr>
                <w:sz w:val="20"/>
                <w:szCs w:val="18"/>
              </w:rPr>
              <w:t>290</w:t>
            </w:r>
            <w:r w:rsidR="007C574A">
              <w:rPr>
                <w:sz w:val="20"/>
                <w:szCs w:val="18"/>
              </w:rPr>
              <w:t>.</w:t>
            </w:r>
            <w:r w:rsidRPr="00BA6061">
              <w:rPr>
                <w:sz w:val="20"/>
                <w:szCs w:val="18"/>
              </w:rPr>
              <w:t>3020</w:t>
            </w:r>
            <w:r w:rsidR="007C574A">
              <w:rPr>
                <w:sz w:val="20"/>
                <w:szCs w:val="18"/>
              </w:rPr>
              <w:t>.</w:t>
            </w:r>
            <w:r w:rsidRPr="00BA6061">
              <w:rPr>
                <w:sz w:val="20"/>
                <w:szCs w:val="18"/>
              </w:rPr>
              <w:t>090</w:t>
            </w:r>
          </w:p>
          <w:p w:rsidR="00235CDC" w:rsidRDefault="00235CDC">
            <w:pPr>
              <w:widowControl w:val="0"/>
              <w:rPr>
                <w:sz w:val="20"/>
                <w:szCs w:val="18"/>
              </w:rPr>
            </w:pPr>
          </w:p>
          <w:p w:rsidR="00235CDC" w:rsidRPr="00BA6061" w:rsidRDefault="00235CDC">
            <w:pPr>
              <w:widowControl w:val="0"/>
              <w:rPr>
                <w:sz w:val="20"/>
                <w:szCs w:val="18"/>
              </w:rPr>
            </w:pPr>
          </w:p>
          <w:p w:rsidR="002E1CF8" w:rsidRPr="00BA6061" w:rsidRDefault="00A56AA9">
            <w:pPr>
              <w:widowControl w:val="0"/>
              <w:rPr>
                <w:sz w:val="20"/>
                <w:szCs w:val="18"/>
              </w:rPr>
            </w:pPr>
            <w:r w:rsidRPr="00BA6061">
              <w:rPr>
                <w:sz w:val="20"/>
                <w:szCs w:val="18"/>
              </w:rPr>
              <w:t>290</w:t>
            </w:r>
            <w:r w:rsidR="007C574A">
              <w:rPr>
                <w:sz w:val="20"/>
                <w:szCs w:val="18"/>
              </w:rPr>
              <w:t>.</w:t>
            </w:r>
            <w:r w:rsidRPr="00BA6061">
              <w:rPr>
                <w:sz w:val="20"/>
                <w:szCs w:val="18"/>
              </w:rPr>
              <w:t>3020</w:t>
            </w:r>
            <w:r w:rsidR="007C574A">
              <w:rPr>
                <w:sz w:val="20"/>
                <w:szCs w:val="18"/>
              </w:rPr>
              <w:t>.</w:t>
            </w:r>
            <w:r w:rsidRPr="00BA6061">
              <w:rPr>
                <w:sz w:val="20"/>
                <w:szCs w:val="18"/>
              </w:rPr>
              <w:t>100</w:t>
            </w:r>
          </w:p>
          <w:p w:rsidR="002E1CF8" w:rsidRPr="00BA6061" w:rsidRDefault="002E1CF8">
            <w:pPr>
              <w:widowControl w:val="0"/>
              <w:rPr>
                <w:sz w:val="22"/>
              </w:rPr>
            </w:pPr>
          </w:p>
          <w:p w:rsidR="002E1CF8" w:rsidRPr="00BA6061" w:rsidRDefault="00A56AA9">
            <w:pPr>
              <w:widowControl w:val="0"/>
              <w:rPr>
                <w:sz w:val="22"/>
              </w:rPr>
            </w:pPr>
            <w:r w:rsidRPr="00BA6061">
              <w:rPr>
                <w:sz w:val="20"/>
                <w:szCs w:val="18"/>
              </w:rPr>
              <w:t>2910</w:t>
            </w:r>
            <w:r w:rsidR="00235CDC">
              <w:rPr>
                <w:sz w:val="20"/>
                <w:szCs w:val="18"/>
              </w:rPr>
              <w:t xml:space="preserve"> </w:t>
            </w:r>
            <w:r w:rsidRPr="00BA6061">
              <w:rPr>
                <w:sz w:val="20"/>
                <w:szCs w:val="18"/>
              </w:rPr>
              <w:t>5932</w:t>
            </w:r>
          </w:p>
          <w:p w:rsidR="002E1CF8" w:rsidRDefault="002E1CF8">
            <w:pPr>
              <w:widowControl w:val="0"/>
              <w:rPr>
                <w:sz w:val="20"/>
              </w:rPr>
            </w:pPr>
          </w:p>
        </w:tc>
        <w:tc>
          <w:tcPr>
            <w:tcW w:w="1702" w:type="dxa"/>
            <w:tcBorders>
              <w:top w:val="single" w:sz="4" w:space="0" w:color="000000"/>
              <w:left w:val="single" w:sz="4" w:space="0" w:color="000000"/>
              <w:bottom w:val="single" w:sz="4" w:space="0" w:color="000000"/>
              <w:right w:val="single" w:sz="4" w:space="0" w:color="000000"/>
            </w:tcBorders>
          </w:tcPr>
          <w:p w:rsidR="002E1CF8" w:rsidRDefault="002E1CF8">
            <w:pPr>
              <w:widowControl w:val="0"/>
              <w:rPr>
                <w:sz w:val="20"/>
              </w:rPr>
            </w:pPr>
          </w:p>
          <w:p w:rsidR="002E1CF8" w:rsidRDefault="00A56AA9">
            <w:pPr>
              <w:widowControl w:val="0"/>
              <w:rPr>
                <w:sz w:val="20"/>
              </w:rPr>
            </w:pPr>
            <w:r>
              <w:rPr>
                <w:sz w:val="20"/>
              </w:rPr>
              <w:t xml:space="preserve">Jobcenter </w:t>
            </w:r>
          </w:p>
        </w:tc>
        <w:tc>
          <w:tcPr>
            <w:tcW w:w="850" w:type="dxa"/>
            <w:tcBorders>
              <w:top w:val="single" w:sz="4" w:space="0" w:color="000000"/>
              <w:left w:val="single" w:sz="4" w:space="0" w:color="000000"/>
              <w:bottom w:val="single" w:sz="4" w:space="0" w:color="000000"/>
              <w:right w:val="single" w:sz="4" w:space="0" w:color="000000"/>
            </w:tcBorders>
          </w:tcPr>
          <w:p w:rsidR="002E1CF8" w:rsidRDefault="002E1CF8">
            <w:pPr>
              <w:widowControl w:val="0"/>
              <w:rPr>
                <w:sz w:val="20"/>
              </w:rPr>
            </w:pPr>
          </w:p>
          <w:p w:rsidR="002E1CF8" w:rsidRDefault="00A56AA9">
            <w:pPr>
              <w:widowControl w:val="0"/>
              <w:rPr>
                <w:sz w:val="20"/>
              </w:rPr>
            </w:pPr>
            <w:r>
              <w:rPr>
                <w:sz w:val="20"/>
              </w:rPr>
              <w:t>EG 10</w:t>
            </w:r>
          </w:p>
          <w:p w:rsidR="00235CDC" w:rsidRDefault="00235CDC">
            <w:pPr>
              <w:widowControl w:val="0"/>
              <w:rPr>
                <w:sz w:val="20"/>
              </w:rPr>
            </w:pPr>
          </w:p>
          <w:p w:rsidR="00235CDC" w:rsidRDefault="00235CDC">
            <w:pPr>
              <w:widowControl w:val="0"/>
              <w:rPr>
                <w:sz w:val="20"/>
              </w:rPr>
            </w:pPr>
          </w:p>
          <w:p w:rsidR="00235CDC" w:rsidRDefault="00235CDC">
            <w:pPr>
              <w:widowControl w:val="0"/>
              <w:rPr>
                <w:sz w:val="20"/>
              </w:rPr>
            </w:pPr>
            <w:r>
              <w:rPr>
                <w:sz w:val="20"/>
              </w:rPr>
              <w:t>EG 10</w:t>
            </w:r>
          </w:p>
        </w:tc>
        <w:tc>
          <w:tcPr>
            <w:tcW w:w="1702" w:type="dxa"/>
            <w:tcBorders>
              <w:top w:val="single" w:sz="4" w:space="0" w:color="000000"/>
              <w:left w:val="single" w:sz="4" w:space="0" w:color="000000"/>
              <w:bottom w:val="single" w:sz="4" w:space="0" w:color="000000"/>
              <w:right w:val="single" w:sz="4" w:space="0" w:color="000000"/>
            </w:tcBorders>
          </w:tcPr>
          <w:p w:rsidR="002E1CF8" w:rsidRDefault="002E1CF8">
            <w:pPr>
              <w:widowControl w:val="0"/>
              <w:rPr>
                <w:sz w:val="20"/>
              </w:rPr>
            </w:pPr>
          </w:p>
          <w:p w:rsidR="002E1CF8" w:rsidRDefault="00235CDC" w:rsidP="00235CDC">
            <w:pPr>
              <w:widowControl w:val="0"/>
              <w:rPr>
                <w:sz w:val="20"/>
              </w:rPr>
            </w:pPr>
            <w:r>
              <w:rPr>
                <w:sz w:val="20"/>
              </w:rPr>
              <w:t>Integrationsfachkraft</w:t>
            </w:r>
          </w:p>
          <w:p w:rsidR="00235CDC" w:rsidRDefault="00235CDC" w:rsidP="00235CDC">
            <w:pPr>
              <w:widowControl w:val="0"/>
              <w:rPr>
                <w:sz w:val="20"/>
              </w:rPr>
            </w:pPr>
          </w:p>
          <w:p w:rsidR="00235CDC" w:rsidRDefault="00235CDC" w:rsidP="00235CDC">
            <w:pPr>
              <w:widowControl w:val="0"/>
              <w:rPr>
                <w:sz w:val="20"/>
              </w:rPr>
            </w:pPr>
            <w:r>
              <w:rPr>
                <w:sz w:val="20"/>
              </w:rPr>
              <w:t>Integrationsfachkraft</w:t>
            </w:r>
          </w:p>
        </w:tc>
        <w:tc>
          <w:tcPr>
            <w:tcW w:w="851" w:type="dxa"/>
            <w:tcBorders>
              <w:top w:val="single" w:sz="4" w:space="0" w:color="000000"/>
              <w:left w:val="single" w:sz="4" w:space="0" w:color="000000"/>
              <w:bottom w:val="single" w:sz="4" w:space="0" w:color="000000"/>
              <w:right w:val="single" w:sz="4" w:space="0" w:color="000000"/>
            </w:tcBorders>
            <w:shd w:val="pct12" w:color="auto" w:fill="FFFFFF"/>
          </w:tcPr>
          <w:p w:rsidR="002E1CF8" w:rsidRDefault="002E1CF8">
            <w:pPr>
              <w:widowControl w:val="0"/>
              <w:rPr>
                <w:sz w:val="20"/>
              </w:rPr>
            </w:pPr>
          </w:p>
          <w:p w:rsidR="002E1CF8" w:rsidRDefault="00235CDC">
            <w:pPr>
              <w:widowControl w:val="0"/>
              <w:rPr>
                <w:sz w:val="20"/>
              </w:rPr>
            </w:pPr>
            <w:r>
              <w:rPr>
                <w:sz w:val="20"/>
              </w:rPr>
              <w:t>1</w:t>
            </w:r>
            <w:r w:rsidR="00A56AA9">
              <w:rPr>
                <w:sz w:val="20"/>
              </w:rPr>
              <w:t>,00</w:t>
            </w:r>
          </w:p>
          <w:p w:rsidR="00235CDC" w:rsidRDefault="00235CDC">
            <w:pPr>
              <w:widowControl w:val="0"/>
              <w:rPr>
                <w:sz w:val="20"/>
              </w:rPr>
            </w:pPr>
          </w:p>
          <w:p w:rsidR="00235CDC" w:rsidRDefault="00235CDC">
            <w:pPr>
              <w:widowControl w:val="0"/>
              <w:rPr>
                <w:sz w:val="20"/>
              </w:rPr>
            </w:pPr>
          </w:p>
          <w:p w:rsidR="00235CDC" w:rsidRDefault="00235CDC">
            <w:pPr>
              <w:widowControl w:val="0"/>
              <w:rPr>
                <w:sz w:val="20"/>
              </w:rPr>
            </w:pPr>
            <w:r>
              <w:rPr>
                <w:sz w:val="20"/>
              </w:rPr>
              <w:t>1,00</w:t>
            </w:r>
          </w:p>
        </w:tc>
        <w:tc>
          <w:tcPr>
            <w:tcW w:w="1133" w:type="dxa"/>
            <w:tcBorders>
              <w:top w:val="single" w:sz="4" w:space="0" w:color="000000"/>
              <w:left w:val="single" w:sz="4" w:space="0" w:color="000000"/>
              <w:bottom w:val="single" w:sz="4" w:space="0" w:color="000000"/>
              <w:right w:val="single" w:sz="4" w:space="0" w:color="000000"/>
            </w:tcBorders>
          </w:tcPr>
          <w:p w:rsidR="002E1CF8" w:rsidRDefault="002E1CF8">
            <w:pPr>
              <w:widowControl w:val="0"/>
              <w:rPr>
                <w:sz w:val="20"/>
              </w:rPr>
            </w:pPr>
          </w:p>
          <w:p w:rsidR="002E1CF8" w:rsidRDefault="00A56AA9">
            <w:pPr>
              <w:widowControl w:val="0"/>
              <w:rPr>
                <w:sz w:val="20"/>
              </w:rPr>
            </w:pPr>
            <w:r>
              <w:rPr>
                <w:sz w:val="20"/>
              </w:rPr>
              <w:t>KW 01/2024</w:t>
            </w:r>
          </w:p>
          <w:p w:rsidR="002E1CF8" w:rsidRDefault="002E1CF8">
            <w:pPr>
              <w:widowControl w:val="0"/>
              <w:rPr>
                <w:sz w:val="20"/>
              </w:rPr>
            </w:pPr>
          </w:p>
          <w:p w:rsidR="00235CDC" w:rsidRDefault="00235CDC" w:rsidP="00235CDC">
            <w:pPr>
              <w:widowControl w:val="0"/>
              <w:rPr>
                <w:sz w:val="20"/>
              </w:rPr>
            </w:pPr>
            <w:r>
              <w:rPr>
                <w:sz w:val="20"/>
              </w:rPr>
              <w:t>KW 01/2024</w:t>
            </w:r>
          </w:p>
          <w:p w:rsidR="002E1CF8" w:rsidRDefault="002E1CF8" w:rsidP="009F7AA4">
            <w:pPr>
              <w:widowControl w:val="0"/>
              <w:rPr>
                <w:sz w:val="20"/>
              </w:rPr>
            </w:pPr>
          </w:p>
        </w:tc>
        <w:tc>
          <w:tcPr>
            <w:tcW w:w="1588" w:type="dxa"/>
            <w:tcBorders>
              <w:top w:val="single" w:sz="4" w:space="0" w:color="000000"/>
              <w:left w:val="single" w:sz="4" w:space="0" w:color="000000"/>
              <w:bottom w:val="single" w:sz="4" w:space="0" w:color="000000"/>
              <w:right w:val="single" w:sz="4" w:space="0" w:color="000000"/>
            </w:tcBorders>
          </w:tcPr>
          <w:p w:rsidR="002E1CF8" w:rsidRDefault="002E1CF8">
            <w:pPr>
              <w:widowControl w:val="0"/>
              <w:rPr>
                <w:sz w:val="20"/>
              </w:rPr>
            </w:pPr>
          </w:p>
          <w:p w:rsidR="00235CDC" w:rsidRDefault="00235CDC" w:rsidP="007C574A">
            <w:pPr>
              <w:widowControl w:val="0"/>
              <w:rPr>
                <w:sz w:val="20"/>
              </w:rPr>
            </w:pPr>
            <w:bookmarkStart w:id="0" w:name="_GoBack"/>
            <w:bookmarkEnd w:id="0"/>
          </w:p>
        </w:tc>
      </w:tr>
    </w:tbl>
    <w:p w:rsidR="002E1CF8" w:rsidRDefault="00A56AA9">
      <w:pPr>
        <w:rPr>
          <w:sz w:val="16"/>
          <w:szCs w:val="16"/>
        </w:rPr>
      </w:pPr>
      <w:r>
        <w:rPr>
          <w:b/>
          <w:sz w:val="16"/>
          <w:szCs w:val="16"/>
        </w:rPr>
        <w:t>*)</w:t>
      </w:r>
      <w:r>
        <w:rPr>
          <w:rFonts w:ascii="Helv" w:hAnsi="Helv" w:cs="Helv"/>
          <w:color w:val="000000"/>
          <w:sz w:val="16"/>
          <w:szCs w:val="16"/>
        </w:rPr>
        <w:t xml:space="preserve">   </w:t>
      </w:r>
      <w:r>
        <w:rPr>
          <w:sz w:val="16"/>
          <w:szCs w:val="16"/>
        </w:rPr>
        <w:t>Gemäß Kommunalträger-Abrechnungsverwaltungsvorschrift (KoA-VV) erfolgt die Abrechnung der Personalkosten fach-</w:t>
      </w:r>
    </w:p>
    <w:p w:rsidR="002E1CF8" w:rsidRDefault="00A56AA9">
      <w:pPr>
        <w:rPr>
          <w:sz w:val="16"/>
          <w:szCs w:val="16"/>
        </w:rPr>
      </w:pPr>
      <w:r>
        <w:rPr>
          <w:sz w:val="16"/>
          <w:szCs w:val="16"/>
        </w:rPr>
        <w:t xml:space="preserve">      spezifischer Stellen mit dem Bund spitz, für die Personalneben-, Sach- und Gemeinkosten werden Pauschalen zugrunde gelegt.</w:t>
      </w:r>
    </w:p>
    <w:p w:rsidR="002E1CF8" w:rsidRDefault="00A56AA9">
      <w:pPr>
        <w:rPr>
          <w:sz w:val="16"/>
          <w:szCs w:val="16"/>
        </w:rPr>
      </w:pPr>
      <w:r>
        <w:rPr>
          <w:sz w:val="16"/>
          <w:szCs w:val="16"/>
        </w:rPr>
        <w:t xml:space="preserve">      Der Anteil   des Bundes an den Kosten beträgt 84,8 Prozent, der kommunale Finanzierungsanteil (KFA) beträgt 15,2 Prozent.</w:t>
      </w:r>
    </w:p>
    <w:p w:rsidR="002E1CF8" w:rsidRDefault="00A56AA9">
      <w:pPr>
        <w:rPr>
          <w:sz w:val="16"/>
          <w:szCs w:val="16"/>
        </w:rPr>
      </w:pPr>
      <w:r>
        <w:rPr>
          <w:sz w:val="16"/>
          <w:szCs w:val="16"/>
        </w:rPr>
        <w:t xml:space="preserve">      Inklusive aller Pauschalen übersteigt die Erstattung des Bundes den kostenwirksamen Aufwand, der bei der LHS für die fach-</w:t>
      </w:r>
    </w:p>
    <w:p w:rsidR="002E1CF8" w:rsidRDefault="00A56AA9">
      <w:r>
        <w:rPr>
          <w:sz w:val="16"/>
          <w:szCs w:val="16"/>
        </w:rPr>
        <w:t xml:space="preserve">      spezifische(n) Stelle(n) entsteht.</w:t>
      </w:r>
    </w:p>
    <w:p w:rsidR="002E1CF8" w:rsidRDefault="002E1CF8"/>
    <w:p w:rsidR="002E1CF8" w:rsidRDefault="002E1CF8"/>
    <w:p w:rsidR="002E1CF8" w:rsidRPr="00CD65D9" w:rsidRDefault="00A56AA9">
      <w:pPr>
        <w:pStyle w:val="berschrift2"/>
        <w:rPr>
          <w:b w:val="0"/>
          <w:color w:val="FF0000"/>
        </w:rPr>
      </w:pPr>
      <w:r w:rsidRPr="00CD65D9">
        <w:t>Begründung:</w:t>
      </w:r>
      <w:r w:rsidR="002966D4" w:rsidRPr="00CD65D9">
        <w:rPr>
          <w:b w:val="0"/>
          <w:color w:val="FF0000"/>
        </w:rPr>
        <w:t xml:space="preserve"> </w:t>
      </w:r>
    </w:p>
    <w:p w:rsidR="002E1CF8" w:rsidRDefault="002E1CF8"/>
    <w:p w:rsidR="002E1CF8" w:rsidRDefault="00A56AA9" w:rsidP="009F7AA4">
      <w:pPr>
        <w:jc w:val="both"/>
      </w:pPr>
      <w:r>
        <w:t>Im Kontext der Flüchtlingswelle und steigender Flüchtlingszahlen im Rechtskreis SGB II wurden mit dem Geschäftsplan 2016 des Jobcenters (GRDrs. 1209/2015, Anlage 9) 2,00 Stellen TVöD EG 10, für die Integrationsfachkräfte mit Schwerpunkt Integration von Flüchtlingen im Arbeitgeberteam in der Abteilung Markt und Integration geschaffen. Die Stellen wurden zuletzt zum Stellenplan 2020 (GRDrs. 705/2021, Anlage 14) bis 01/2024 verlängert.</w:t>
      </w:r>
    </w:p>
    <w:p w:rsidR="009F7AA4" w:rsidRDefault="009F7AA4" w:rsidP="009F7AA4">
      <w:pPr>
        <w:jc w:val="both"/>
      </w:pPr>
    </w:p>
    <w:p w:rsidR="002E1CF8" w:rsidRDefault="00A56AA9" w:rsidP="009F7AA4">
      <w:pPr>
        <w:jc w:val="both"/>
        <w:rPr>
          <w:rFonts w:eastAsiaTheme="minorEastAsia" w:cs="Arial"/>
        </w:rPr>
      </w:pPr>
      <w:r>
        <w:t xml:space="preserve">Neben der sog. </w:t>
      </w:r>
      <w:r w:rsidR="00235CDC">
        <w:t>b</w:t>
      </w:r>
      <w:r>
        <w:t>ewerber</w:t>
      </w:r>
      <w:r w:rsidR="00235CDC">
        <w:t>/-</w:t>
      </w:r>
      <w:r>
        <w:t>innenorientierten Vermittlungsarbeit (also</w:t>
      </w:r>
      <w:r w:rsidR="00235CDC">
        <w:t xml:space="preserve"> dem Ansprechen von Arbeitgeber/-</w:t>
      </w:r>
      <w:r>
        <w:t xml:space="preserve">innen anlässlich vorliegender Bewerbungsunterlagen von Leistungsberechtigen) melden sich auch viele </w:t>
      </w:r>
      <w:r>
        <w:rPr>
          <w:rFonts w:eastAsiaTheme="minorEastAsia" w:cs="Arial"/>
        </w:rPr>
        <w:t xml:space="preserve">Firmen beim Arbeitgeberteam und bieten Praktikums- und Arbeitsplätze an. Hierunter befinden sich die namhaften Stuttgarter Globalplayer, die in regelmäßigen Abständen Großprojekte anbieten und demnach die Unterstützung bei der Umsetzung der Projekte regelrecht einfordern. Wenn diese Anfragen aufgrund fehlenden Personals nicht zeitnah bedient werden können, wird damit eine große Chance zur Integration von Leistungsberechtigten mit Fluchthintergrund vertan. </w:t>
      </w:r>
    </w:p>
    <w:p w:rsidR="009F7AA4" w:rsidRDefault="009F7AA4" w:rsidP="009F7AA4">
      <w:pPr>
        <w:jc w:val="both"/>
        <w:rPr>
          <w:rFonts w:eastAsiaTheme="minorEastAsia" w:cs="Arial"/>
        </w:rPr>
      </w:pPr>
    </w:p>
    <w:p w:rsidR="002E1CF8" w:rsidRPr="009F7AA4" w:rsidRDefault="00A56AA9" w:rsidP="009F7AA4">
      <w:pPr>
        <w:jc w:val="both"/>
        <w:rPr>
          <w:rFonts w:eastAsiaTheme="minorEastAsia" w:cs="Arial"/>
        </w:rPr>
      </w:pPr>
      <w:r>
        <w:rPr>
          <w:rFonts w:eastAsiaTheme="minorEastAsia" w:cs="Arial"/>
        </w:rPr>
        <w:t>Aber nicht nur die persönliche Begleitung von Leistungsberechtigten mit Fluchthintergrund sowie die Akquise von Arbeitsplätzen bei Arbeitgeber</w:t>
      </w:r>
      <w:r w:rsidR="00235CDC">
        <w:rPr>
          <w:rFonts w:eastAsiaTheme="minorEastAsia" w:cs="Arial"/>
        </w:rPr>
        <w:t>/-</w:t>
      </w:r>
      <w:r>
        <w:rPr>
          <w:rFonts w:eastAsiaTheme="minorEastAsia" w:cs="Arial"/>
        </w:rPr>
        <w:t>innen</w:t>
      </w:r>
      <w:r w:rsidR="00235CDC">
        <w:rPr>
          <w:rFonts w:eastAsiaTheme="minorEastAsia" w:cs="Arial"/>
        </w:rPr>
        <w:t>,</w:t>
      </w:r>
      <w:r>
        <w:rPr>
          <w:rFonts w:eastAsiaTheme="minorEastAsia" w:cs="Arial"/>
        </w:rPr>
        <w:t xml:space="preserve"> sondern auch die Organisation von und Teilnahme an Messen (z. B. Jobmessen für ausländische Fachkräfte in den Räumlichkeiten der Industrie- und Handelskammer Region Stuttgart), Informations</w:t>
      </w:r>
      <w:r w:rsidR="00235CDC">
        <w:rPr>
          <w:rFonts w:eastAsiaTheme="minorEastAsia" w:cs="Arial"/>
        </w:rPr>
        <w:t>veranstaltungen bei Arbeitgeber/-</w:t>
      </w:r>
      <w:r>
        <w:rPr>
          <w:rFonts w:eastAsiaTheme="minorEastAsia" w:cs="Arial"/>
        </w:rPr>
        <w:t>innen und Netzwerkpartner</w:t>
      </w:r>
      <w:r w:rsidR="00235CDC">
        <w:rPr>
          <w:rFonts w:eastAsiaTheme="minorEastAsia" w:cs="Arial"/>
        </w:rPr>
        <w:t>/-</w:t>
      </w:r>
      <w:r>
        <w:rPr>
          <w:rFonts w:eastAsiaTheme="minorEastAsia" w:cs="Arial"/>
        </w:rPr>
        <w:t xml:space="preserve">innen (wie z. B. den Handels- und Gewerbevereinen in den Stuttgarter Stadtbezirken) und die Teilnahme an Arbeitskreisen tragen zum Erfolg der Arbeit der Integrationsfachkräfte bei. </w:t>
      </w:r>
      <w:r>
        <w:t>Die Akquise von Arbeitsplätzen, die Organisation von Jobmessen sowie die Netzwerkarbeit können von den persönlichen Ansprechpartner</w:t>
      </w:r>
      <w:r w:rsidR="00235CDC">
        <w:t>n/-</w:t>
      </w:r>
      <w:r>
        <w:t>innen aufgrund ihres hohen Fallschlüssels nicht übernommen werden. Würde der KW-Vermerk zum Januar 2024 umgesetzt, könnten zukünftig wesentlich weniger Leistungsberechtigte mit Fluchthintergrund in Arbeit vermittelt und somit gesellschaftlich integriert werden.</w:t>
      </w:r>
    </w:p>
    <w:p w:rsidR="009F7AA4" w:rsidRDefault="009F7AA4" w:rsidP="009F7AA4">
      <w:pPr>
        <w:jc w:val="both"/>
      </w:pPr>
    </w:p>
    <w:p w:rsidR="002E1CF8" w:rsidRPr="009F7AA4" w:rsidRDefault="00A56AA9" w:rsidP="009F7AA4">
      <w:pPr>
        <w:jc w:val="both"/>
      </w:pPr>
      <w:r>
        <w:t>I</w:t>
      </w:r>
      <w:r>
        <w:rPr>
          <w:rFonts w:cs="Arial"/>
        </w:rPr>
        <w:t>n der Abteilung Migration und Teilhabe wird im Jahr 2023 der Fokus verstärkt auf sogenannte „Nichtaktivierungskund</w:t>
      </w:r>
      <w:r w:rsidR="00235CDC">
        <w:rPr>
          <w:rFonts w:cs="Arial"/>
        </w:rPr>
        <w:t>en/-</w:t>
      </w:r>
      <w:r>
        <w:rPr>
          <w:rFonts w:cs="Arial"/>
        </w:rPr>
        <w:t>innen“ – insbesondere die Gruppe der erziehenden Mütter mit Kindern unter 3 Jahren – gelegt. Geflüchtete erziehende Mütter sind oftmals durch tradierte Rollenbilder gefangen und nur schwer zugänglich. Auch die These, nach der Erziehungszeit wieder ohne größeren Beratungsaufwand in den erlernten Beruf zurückzukehren, ist bei der Grupp</w:t>
      </w:r>
      <w:r w:rsidR="009C7AA1">
        <w:rPr>
          <w:rFonts w:cs="Arial"/>
        </w:rPr>
        <w:t>e der geflüchteten Frauen nicht</w:t>
      </w:r>
      <w:r>
        <w:rPr>
          <w:rFonts w:cs="Arial"/>
        </w:rPr>
        <w:t xml:space="preserve">zutreffend, da keine berufliche Vorerfahrung in Deutschland gegeben ist. Die Zielgruppe der Frauen wird durch die ukrainischen Geflüchteten weiter verstärkt in den Fokus rücken, da zwischen 70 bis 80 </w:t>
      </w:r>
      <w:r w:rsidR="00235CDC">
        <w:rPr>
          <w:rFonts w:cs="Arial"/>
        </w:rPr>
        <w:t>%</w:t>
      </w:r>
      <w:r>
        <w:rPr>
          <w:rFonts w:cs="Arial"/>
        </w:rPr>
        <w:t xml:space="preserve"> der erwerbsfähigen Geflüchteten aus der Ukraine weiblich und viele davon erziehend sind. Neben Förderangeboten zum Spracherwerb wird ein weiterer Schwerpunkt in der Beratung zu Anerkennungsmöglichkeiten von ausländischen Abschlüssen liegen. </w:t>
      </w:r>
    </w:p>
    <w:p w:rsidR="009F7AA4" w:rsidRDefault="009F7AA4" w:rsidP="009F7AA4">
      <w:pPr>
        <w:jc w:val="both"/>
        <w:rPr>
          <w:rFonts w:cs="Arial"/>
        </w:rPr>
      </w:pPr>
    </w:p>
    <w:p w:rsidR="009F7AA4" w:rsidRPr="00E46A33" w:rsidRDefault="00A56AA9" w:rsidP="00E46A33">
      <w:pPr>
        <w:rPr>
          <w:rFonts w:eastAsiaTheme="minorHAnsi" w:cstheme="minorBidi"/>
          <w:lang w:eastAsia="en-US"/>
        </w:rPr>
      </w:pPr>
      <w:r>
        <w:rPr>
          <w:rFonts w:cs="Arial"/>
        </w:rPr>
        <w:t>Diese Schwerpunktsetzung wird auch Auswirkungen auf die Arbeit der Integrationsfachkräfte haben, indem sie – um die Integration von Frauen mit Fluchthintergrund auszubauen – die Mitarbeiter</w:t>
      </w:r>
      <w:r w:rsidR="00235CDC">
        <w:rPr>
          <w:rFonts w:cs="Arial"/>
        </w:rPr>
        <w:t>/-</w:t>
      </w:r>
      <w:r>
        <w:rPr>
          <w:rFonts w:cs="Arial"/>
        </w:rPr>
        <w:t>innen der Abteilung Migration und Teilhabe bei dieser Aufgabe noch wei</w:t>
      </w:r>
      <w:r w:rsidR="009F7AA4">
        <w:rPr>
          <w:rFonts w:cs="Arial"/>
        </w:rPr>
        <w:t xml:space="preserve">t mehr als bisher unterstützen. </w:t>
      </w:r>
      <w:r>
        <w:t>Für den Doppelhaushalt 2024/2025 werden steigende Fallzahlen, insbesondere als Auswirkung des Krieges in der Ukraine und dem Rechtskreiswechsel von geflüchteten Menschen aus der Ukraine vom Asylbewerberleistungsgesetz in die Grundsicherung nach dem Soz</w:t>
      </w:r>
      <w:r w:rsidR="00235CDC">
        <w:t>ialgesetzbuch II (SGB II) am 1. </w:t>
      </w:r>
      <w:r>
        <w:t xml:space="preserve">Juni 2022 prognostiziert. </w:t>
      </w:r>
      <w:r w:rsidRPr="009F7AA4">
        <w:rPr>
          <w:rFonts w:cs="Arial"/>
        </w:rPr>
        <w:t>Die Anzahl der Flüchtlinge ist seit 2016 gleichbleibend hoch, sie beträgt durchschnittlich ca. 4.500 Leistungsberechtigte. Eine Veränderung ist auch für 2023 nicht in Sicht, im Gegenteil, die Zahl der Asylsuchenden nimmt ebenfalls wieder merklich zu. Durch den Krieg in der Ukraine wird für 2023 mit zusätzlich knapp 5.000 weiteren Leistungsberechtigten gerechnet.</w:t>
      </w:r>
      <w:r>
        <w:t xml:space="preserve"> </w:t>
      </w:r>
      <w:r w:rsidR="00235CDC">
        <w:rPr>
          <w:rFonts w:eastAsiaTheme="minorHAnsi" w:cstheme="minorBidi"/>
          <w:lang w:eastAsia="en-US"/>
        </w:rPr>
        <w:t>Die Umsetzung des Bürgergelds</w:t>
      </w:r>
      <w:r w:rsidR="00E46A33" w:rsidRPr="009C7AA1">
        <w:rPr>
          <w:rFonts w:eastAsiaTheme="minorHAnsi" w:cstheme="minorBidi"/>
          <w:lang w:eastAsia="en-US"/>
        </w:rPr>
        <w:t xml:space="preserve"> als bisher größte Reform der Grundsicherung für Arbeitssuchende, führt darüber hinaus zur Arbeitsverdichtung.</w:t>
      </w:r>
    </w:p>
    <w:p w:rsidR="003249DC" w:rsidRDefault="003249DC" w:rsidP="009F7AA4">
      <w:pPr>
        <w:jc w:val="both"/>
      </w:pPr>
    </w:p>
    <w:p w:rsidR="00296523" w:rsidRPr="00D552C1" w:rsidRDefault="00296523" w:rsidP="009F7AA4">
      <w:pPr>
        <w:jc w:val="both"/>
        <w:rPr>
          <w:rFonts w:eastAsiaTheme="minorHAnsi" w:cstheme="minorBidi"/>
          <w:lang w:eastAsia="en-US"/>
        </w:rPr>
      </w:pPr>
      <w:r w:rsidRPr="00D552C1">
        <w:rPr>
          <w:rFonts w:eastAsiaTheme="minorHAnsi" w:cstheme="minorBidi"/>
          <w:lang w:eastAsia="en-US"/>
        </w:rPr>
        <w:t>Die Entwicklung der Fallzahlen, differenziert nach Gesamt und Flucht, und die der Mitarbeitenden sowie Stellen und Ermächt</w:t>
      </w:r>
      <w:r w:rsidR="00235CDC">
        <w:rPr>
          <w:rFonts w:eastAsiaTheme="minorHAnsi" w:cstheme="minorBidi"/>
          <w:lang w:eastAsia="en-US"/>
        </w:rPr>
        <w:t>igungen stellt sich seit 2015 (</w:t>
      </w:r>
      <w:r w:rsidRPr="00D552C1">
        <w:rPr>
          <w:rFonts w:eastAsiaTheme="minorHAnsi" w:cstheme="minorBidi"/>
          <w:lang w:eastAsia="en-US"/>
        </w:rPr>
        <w:t xml:space="preserve">2015 konnte noch keine ausdifferenzierte Auswertung hinsichtlich Flucht erfolgen) wie folgt dar: </w:t>
      </w:r>
    </w:p>
    <w:p w:rsidR="00296523" w:rsidRDefault="00296523" w:rsidP="009F7AA4">
      <w:pPr>
        <w:jc w:val="both"/>
        <w:rPr>
          <w:rFonts w:eastAsiaTheme="minorEastAsia" w:cs="Arial"/>
        </w:rPr>
      </w:pPr>
    </w:p>
    <w:p w:rsidR="00296523" w:rsidRDefault="00296523" w:rsidP="009F7AA4">
      <w:pPr>
        <w:jc w:val="both"/>
        <w:rPr>
          <w:rFonts w:eastAsiaTheme="minorEastAsia" w:cs="Arial"/>
        </w:rPr>
      </w:pPr>
      <w:r>
        <w:rPr>
          <w:noProof/>
        </w:rPr>
        <w:drawing>
          <wp:inline distT="0" distB="0" distL="0" distR="0" wp14:anchorId="5EC76AEA" wp14:editId="235D81AE">
            <wp:extent cx="5939790" cy="2412742"/>
            <wp:effectExtent l="0" t="0" r="381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39790" cy="2412742"/>
                    </a:xfrm>
                    <a:prstGeom prst="rect">
                      <a:avLst/>
                    </a:prstGeom>
                  </pic:spPr>
                </pic:pic>
              </a:graphicData>
            </a:graphic>
          </wp:inline>
        </w:drawing>
      </w:r>
    </w:p>
    <w:p w:rsidR="009F7AA4" w:rsidRDefault="009F7AA4" w:rsidP="009F7AA4">
      <w:pPr>
        <w:jc w:val="both"/>
        <w:rPr>
          <w:rFonts w:eastAsiaTheme="minorEastAsia" w:cs="Arial"/>
        </w:rPr>
      </w:pPr>
    </w:p>
    <w:p w:rsidR="003249DC" w:rsidRDefault="003249DC" w:rsidP="003249DC">
      <w:pPr>
        <w:rPr>
          <w:rFonts w:eastAsiaTheme="minorHAnsi" w:cstheme="minorBidi"/>
          <w:lang w:eastAsia="en-US"/>
        </w:rPr>
      </w:pPr>
      <w:r>
        <w:rPr>
          <w:rFonts w:eastAsiaTheme="minorHAnsi" w:cstheme="minorBidi"/>
          <w:lang w:eastAsia="en-US"/>
        </w:rPr>
        <w:t>Seit 2016 haben die wirtschaftlichen, politischen und gesellschaftlichen Entwicklungen im In- und Ausland zur Verstetigung der Kundenzahlen insgesamt geführt, und einer damit verbundenen Verstetigung der Personalbedarfe.</w:t>
      </w:r>
    </w:p>
    <w:p w:rsidR="003249DC" w:rsidRDefault="003249DC" w:rsidP="009F7AA4">
      <w:pPr>
        <w:jc w:val="both"/>
        <w:rPr>
          <w:szCs w:val="22"/>
        </w:rPr>
      </w:pPr>
    </w:p>
    <w:p w:rsidR="009F7AA4" w:rsidRPr="001D76F6" w:rsidRDefault="009F7AA4" w:rsidP="009F7AA4">
      <w:pPr>
        <w:jc w:val="both"/>
        <w:rPr>
          <w:color w:val="FF0000"/>
          <w:szCs w:val="22"/>
        </w:rPr>
      </w:pPr>
      <w:r w:rsidRPr="001D76F6">
        <w:rPr>
          <w:szCs w:val="22"/>
        </w:rPr>
        <w:t>Dem Wegfall des KW-Vermerks der o.</w:t>
      </w:r>
      <w:r w:rsidR="00235CDC">
        <w:rPr>
          <w:szCs w:val="22"/>
        </w:rPr>
        <w:t xml:space="preserve"> </w:t>
      </w:r>
      <w:r w:rsidRPr="001D76F6">
        <w:rPr>
          <w:szCs w:val="22"/>
        </w:rPr>
        <w:t>g. Stelle</w:t>
      </w:r>
      <w:r>
        <w:rPr>
          <w:szCs w:val="22"/>
        </w:rPr>
        <w:t>n</w:t>
      </w:r>
      <w:r w:rsidRPr="001D76F6">
        <w:rPr>
          <w:szCs w:val="22"/>
        </w:rPr>
        <w:t xml:space="preserve"> wird </w:t>
      </w:r>
      <w:r w:rsidR="003249DC">
        <w:rPr>
          <w:szCs w:val="22"/>
        </w:rPr>
        <w:t xml:space="preserve">daher </w:t>
      </w:r>
      <w:r w:rsidRPr="001D76F6">
        <w:rPr>
          <w:szCs w:val="22"/>
        </w:rPr>
        <w:t>zugestimmt.</w:t>
      </w:r>
    </w:p>
    <w:p w:rsidR="009F7AA4" w:rsidRDefault="009F7AA4" w:rsidP="009F7AA4">
      <w:pPr>
        <w:jc w:val="both"/>
        <w:rPr>
          <w:rFonts w:eastAsiaTheme="minorEastAsia" w:cs="Arial"/>
        </w:rPr>
      </w:pPr>
    </w:p>
    <w:sectPr w:rsidR="009F7AA4" w:rsidSect="009F7AA4">
      <w:headerReference w:type="default" r:id="rId8"/>
      <w:pgSz w:w="11906" w:h="16838"/>
      <w:pgMar w:top="1134" w:right="1134" w:bottom="426" w:left="1418" w:header="426" w:footer="0"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7B8" w:rsidRDefault="00A56AA9">
      <w:r>
        <w:separator/>
      </w:r>
    </w:p>
  </w:endnote>
  <w:endnote w:type="continuationSeparator" w:id="0">
    <w:p w:rsidR="00EB07B8" w:rsidRDefault="00A5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7B8" w:rsidRDefault="00A56AA9">
      <w:r>
        <w:separator/>
      </w:r>
    </w:p>
  </w:footnote>
  <w:footnote w:type="continuationSeparator" w:id="0">
    <w:p w:rsidR="00EB07B8" w:rsidRDefault="00A56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CF8" w:rsidRDefault="00A56AA9">
    <w:pPr>
      <w:pStyle w:val="Kopfzeile"/>
    </w:pPr>
    <w:r>
      <w:rPr>
        <w:noProof/>
      </w:rPr>
      <mc:AlternateContent>
        <mc:Choice Requires="wps">
          <w:drawing>
            <wp:anchor distT="0" distB="0" distL="0" distR="0" simplePos="0" relativeHeight="2" behindDoc="0" locked="0" layoutInCell="0" allowOverlap="1">
              <wp:simplePos x="0" y="0"/>
              <wp:positionH relativeFrom="page">
                <wp:align>center</wp:align>
              </wp:positionH>
              <wp:positionV relativeFrom="page">
                <wp:posOffset>450850</wp:posOffset>
              </wp:positionV>
              <wp:extent cx="272415" cy="175260"/>
              <wp:effectExtent l="0" t="0" r="0" b="0"/>
              <wp:wrapSquare wrapText="bothSides"/>
              <wp:docPr id="1" name="Rahmen1"/>
              <wp:cNvGraphicFramePr/>
              <a:graphic xmlns:a="http://schemas.openxmlformats.org/drawingml/2006/main">
                <a:graphicData uri="http://schemas.microsoft.com/office/word/2010/wordprocessingShape">
                  <wps:wsp>
                    <wps:cNvSpPr txBox="1"/>
                    <wps:spPr>
                      <a:xfrm>
                        <a:off x="0" y="0"/>
                        <a:ext cx="272415" cy="175260"/>
                      </a:xfrm>
                      <a:prstGeom prst="rect">
                        <a:avLst/>
                      </a:prstGeom>
                      <a:solidFill>
                        <a:srgbClr val="FFFFFF">
                          <a:alpha val="0"/>
                        </a:srgbClr>
                      </a:solidFill>
                    </wps:spPr>
                    <wps:txbx>
                      <w:txbxContent>
                        <w:p w:rsidR="002E1CF8" w:rsidRDefault="00A56AA9">
                          <w:pPr>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7C574A">
                            <w:rPr>
                              <w:rStyle w:val="Seitenzahl"/>
                              <w:noProof/>
                            </w:rPr>
                            <w:t>2</w:t>
                          </w:r>
                          <w:r>
                            <w:rPr>
                              <w:rStyle w:val="Seitenzahl"/>
                            </w:rPr>
                            <w:fldChar w:fldCharType="end"/>
                          </w:r>
                          <w:r>
                            <w:rPr>
                              <w:rStyle w:val="Seitenzahl"/>
                            </w:rPr>
                            <w:t xml:space="preserve"> -</w:t>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0;margin-top:35.5pt;width:21.45pt;height:13.8pt;z-index:2;visibility:visible;mso-wrap-style:square;mso-wrap-distance-left:0;mso-wrap-distance-top:0;mso-wrap-distance-right:0;mso-wrap-distance-bottom:0;mso-position-horizontal:center;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" o:allowincell="f" stroked="f">
              <v:fill opacity="0"/>
              <v:textbox style="mso-fit-shape-to-text:t" inset="0,0,0,0">
                <w:txbxContent>
                  <w:p w:rsidR="002E1CF8" w:rsidRDefault="00A56AA9">
                    <w:pPr>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7C574A">
                      <w:rPr>
                        <w:rStyle w:val="Seitenzahl"/>
                        <w:noProof/>
                      </w:rPr>
                      <w:t>2</w:t>
                    </w:r>
                    <w:r>
                      <w:rPr>
                        <w:rStyle w:val="Seitenzahl"/>
                      </w:rPr>
                      <w:fldChar w:fldCharType="end"/>
                    </w:r>
                    <w:r>
                      <w:rPr>
                        <w:rStyle w:val="Seitenzahl"/>
                      </w:rPr>
                      <w:t xml:space="preserve"> -</w:t>
                    </w:r>
                  </w:p>
                </w:txbxContent>
              </v:textbox>
              <w10:wrap type="square"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F8"/>
    <w:rsid w:val="00235CDC"/>
    <w:rsid w:val="00296523"/>
    <w:rsid w:val="002966D4"/>
    <w:rsid w:val="002E1CF8"/>
    <w:rsid w:val="003249DC"/>
    <w:rsid w:val="003C64BC"/>
    <w:rsid w:val="007C574A"/>
    <w:rsid w:val="009C7AA1"/>
    <w:rsid w:val="009F7AA4"/>
    <w:rsid w:val="00A56AA9"/>
    <w:rsid w:val="00B25FDE"/>
    <w:rsid w:val="00BA6061"/>
    <w:rsid w:val="00CD65D9"/>
    <w:rsid w:val="00E46A33"/>
    <w:rsid w:val="00EB07B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C2F690"/>
  <w15:docId w15:val="{A271E593-B1BD-4F67-A739-3EDE38C8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D1F"/>
    <w:pPr>
      <w:suppressAutoHyphens w:val="0"/>
    </w:pPr>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qFormat/>
    <w:rsid w:val="00165C0D"/>
    <w:rPr>
      <w:rFonts w:ascii="Arial" w:hAnsi="Arial"/>
      <w:sz w:val="24"/>
    </w:rPr>
  </w:style>
  <w:style w:type="character" w:styleId="Fett">
    <w:name w:val="Strong"/>
    <w:basedOn w:val="Absatz-Standardschriftart"/>
    <w:uiPriority w:val="22"/>
    <w:qFormat/>
    <w:rsid w:val="00732D0F"/>
    <w:rPr>
      <w:b/>
      <w:bCs/>
    </w:rPr>
  </w:style>
  <w:style w:type="character" w:customStyle="1" w:styleId="Internetverknpfung">
    <w:name w:val="Internetverknüpfung"/>
    <w:basedOn w:val="Absatz-Standardschriftart"/>
    <w:uiPriority w:val="99"/>
    <w:semiHidden/>
    <w:unhideWhenUsed/>
    <w:rsid w:val="00CC6234"/>
    <w:rPr>
      <w:color w:val="0000FF"/>
      <w:u w:val="single"/>
    </w:rPr>
  </w:style>
  <w:style w:type="character" w:styleId="Kommentarzeichen">
    <w:name w:val="annotation reference"/>
    <w:basedOn w:val="Absatz-Standardschriftart"/>
    <w:semiHidden/>
    <w:unhideWhenUsed/>
    <w:qFormat/>
    <w:rsid w:val="002C1AAB"/>
    <w:rPr>
      <w:sz w:val="16"/>
      <w:szCs w:val="16"/>
    </w:rPr>
  </w:style>
  <w:style w:type="character" w:customStyle="1" w:styleId="KommentartextZchn">
    <w:name w:val="Kommentartext Zchn"/>
    <w:basedOn w:val="Absatz-Standardschriftart"/>
    <w:link w:val="Kommentartext"/>
    <w:semiHidden/>
    <w:qFormat/>
    <w:rsid w:val="002C1AAB"/>
    <w:rPr>
      <w:sz w:val="20"/>
      <w:szCs w:val="20"/>
    </w:rPr>
  </w:style>
  <w:style w:type="character" w:customStyle="1" w:styleId="KommentarthemaZchn">
    <w:name w:val="Kommentarthema Zchn"/>
    <w:basedOn w:val="KommentartextZchn"/>
    <w:link w:val="Kommentarthema"/>
    <w:semiHidden/>
    <w:qFormat/>
    <w:rsid w:val="002C1AAB"/>
    <w:rPr>
      <w:b/>
      <w:bCs/>
      <w:sz w:val="20"/>
      <w:szCs w:val="20"/>
    </w:rPr>
  </w:style>
  <w:style w:type="character" w:customStyle="1" w:styleId="SprechblasentextZchn">
    <w:name w:val="Sprechblasentext Zchn"/>
    <w:basedOn w:val="Absatz-Standardschriftart"/>
    <w:link w:val="Sprechblasentext"/>
    <w:semiHidden/>
    <w:qFormat/>
    <w:rsid w:val="002C1AAB"/>
    <w:rPr>
      <w:rFonts w:ascii="Segoe UI" w:hAnsi="Segoe UI" w:cs="Segoe UI"/>
      <w:sz w:val="18"/>
      <w:szCs w:val="18"/>
    </w:rPr>
  </w:style>
  <w:style w:type="character" w:customStyle="1" w:styleId="Zeilennummerierung">
    <w:name w:val="Zeilennummerierung"/>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Fuzeile">
    <w:name w:val="footer"/>
    <w:basedOn w:val="Standard"/>
    <w:rsid w:val="0060281A"/>
    <w:pPr>
      <w:tabs>
        <w:tab w:val="center" w:pos="4819"/>
        <w:tab w:val="right" w:pos="9071"/>
      </w:tabs>
    </w:pPr>
  </w:style>
  <w:style w:type="paragraph" w:styleId="Kopfzeile">
    <w:name w:val="header"/>
    <w:basedOn w:val="Standard"/>
    <w:rsid w:val="0060281A"/>
    <w:pPr>
      <w:tabs>
        <w:tab w:val="center" w:pos="4819"/>
        <w:tab w:val="right" w:pos="9071"/>
      </w:tabs>
    </w:pPr>
  </w:style>
  <w:style w:type="paragraph" w:styleId="StandardWeb">
    <w:name w:val="Normal (Web)"/>
    <w:basedOn w:val="Standard"/>
    <w:uiPriority w:val="99"/>
    <w:semiHidden/>
    <w:unhideWhenUsed/>
    <w:qFormat/>
    <w:rsid w:val="00732D0F"/>
    <w:pPr>
      <w:spacing w:beforeAutospacing="1" w:afterAutospacing="1"/>
    </w:pPr>
    <w:rPr>
      <w:rFonts w:ascii="Times New Roman" w:hAnsi="Times New Roman"/>
    </w:rPr>
  </w:style>
  <w:style w:type="paragraph" w:styleId="Listenabsatz">
    <w:name w:val="List Paragraph"/>
    <w:basedOn w:val="Standard"/>
    <w:uiPriority w:val="34"/>
    <w:qFormat/>
    <w:rsid w:val="00156711"/>
    <w:pPr>
      <w:ind w:left="720"/>
      <w:contextualSpacing/>
    </w:pPr>
  </w:style>
  <w:style w:type="paragraph" w:styleId="Kommentartext">
    <w:name w:val="annotation text"/>
    <w:basedOn w:val="Standard"/>
    <w:link w:val="KommentartextZchn"/>
    <w:semiHidden/>
    <w:unhideWhenUsed/>
    <w:qFormat/>
    <w:rsid w:val="002C1AAB"/>
    <w:rPr>
      <w:sz w:val="20"/>
      <w:szCs w:val="20"/>
    </w:rPr>
  </w:style>
  <w:style w:type="paragraph" w:styleId="Kommentarthema">
    <w:name w:val="annotation subject"/>
    <w:basedOn w:val="Kommentartext"/>
    <w:next w:val="Kommentartext"/>
    <w:link w:val="KommentarthemaZchn"/>
    <w:semiHidden/>
    <w:unhideWhenUsed/>
    <w:qFormat/>
    <w:rsid w:val="002C1AAB"/>
    <w:rPr>
      <w:b/>
      <w:bCs/>
    </w:rPr>
  </w:style>
  <w:style w:type="paragraph" w:styleId="Sprechblasentext">
    <w:name w:val="Balloon Text"/>
    <w:basedOn w:val="Standard"/>
    <w:link w:val="SprechblasentextZchn"/>
    <w:semiHidden/>
    <w:unhideWhenUsed/>
    <w:qFormat/>
    <w:rsid w:val="002C1AAB"/>
    <w:rPr>
      <w:rFonts w:ascii="Segoe UI" w:hAnsi="Segoe UI" w:cs="Segoe UI"/>
      <w:sz w:val="18"/>
      <w:szCs w:val="18"/>
    </w:rPr>
  </w:style>
  <w:style w:type="paragraph" w:customStyle="1" w:styleId="Rahmeninhalt">
    <w:name w:val="Rahmeninhalt"/>
    <w:basedOn w:val="Standard"/>
    <w:qFormat/>
  </w:style>
  <w:style w:type="table" w:styleId="Gitternetztabelle4Akzent1">
    <w:name w:val="Grid Table 4 Accent 1"/>
    <w:basedOn w:val="NormaleTabelle"/>
    <w:uiPriority w:val="49"/>
    <w:rsid w:val="009D38D8"/>
    <w:rPr>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981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D933B-EA7E-4D80-AF62-068E42450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4870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Mustervorlage Wegfall eines Stellenvermerks</vt:lpstr>
    </vt:vector>
  </TitlesOfParts>
  <Company>Landeshauptstadt Stuttgart</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Wegfall eines Stellenvermerks</dc:title>
  <dc:subject/>
  <dc:creator>Faller, Isolde</dc:creator>
  <dc:description/>
  <cp:lastModifiedBy>Baumann, Gerhard</cp:lastModifiedBy>
  <cp:revision>10</cp:revision>
  <cp:lastPrinted>2023-10-06T08:35:00Z</cp:lastPrinted>
  <dcterms:created xsi:type="dcterms:W3CDTF">2023-08-25T15:14:00Z</dcterms:created>
  <dcterms:modified xsi:type="dcterms:W3CDTF">2023-10-06T08:35:00Z</dcterms:modified>
  <dc:language>de-DE</dc:language>
</cp:coreProperties>
</file>