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1DF7" w14:textId="597F77EF" w:rsidR="003D7B0B" w:rsidRPr="006E0575" w:rsidRDefault="003D7B0B" w:rsidP="00D15184">
      <w:pPr>
        <w:jc w:val="right"/>
      </w:pPr>
      <w:r w:rsidRPr="006E0575">
        <w:t xml:space="preserve">Anlage </w:t>
      </w:r>
      <w:r w:rsidR="000F4A5C">
        <w:t>15</w:t>
      </w:r>
      <w:r w:rsidRPr="006E0575">
        <w:t xml:space="preserve"> zur GRDrs</w:t>
      </w:r>
      <w:r w:rsidR="00373014">
        <w:t>.</w:t>
      </w:r>
      <w:r w:rsidRPr="006E0575">
        <w:t xml:space="preserve"> </w:t>
      </w:r>
      <w:r w:rsidR="00373014">
        <w:t>823</w:t>
      </w:r>
      <w:r w:rsidR="00891246">
        <w:t>/20</w:t>
      </w:r>
      <w:r w:rsidR="00EB1FB5">
        <w:t>2</w:t>
      </w:r>
      <w:r w:rsidR="00DB315E">
        <w:t>3</w:t>
      </w:r>
    </w:p>
    <w:p w14:paraId="03908E10" w14:textId="77777777" w:rsidR="003D7B0B" w:rsidRPr="006E0575" w:rsidRDefault="003D7B0B" w:rsidP="006E0575"/>
    <w:p w14:paraId="5BA69C8E" w14:textId="77777777" w:rsidR="003D7B0B" w:rsidRPr="006E0575" w:rsidRDefault="003D7B0B" w:rsidP="006E0575"/>
    <w:p w14:paraId="21D0DBE3" w14:textId="77777777"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C26152">
        <w:t>von</w:t>
      </w:r>
      <w:r w:rsidRPr="00796600">
        <w:t xml:space="preserve"> </w:t>
      </w:r>
      <w:r w:rsidR="00A34898" w:rsidRPr="00796600">
        <w:t>Stellen</w:t>
      </w:r>
      <w:r w:rsidRPr="00796600">
        <w:t>vermerk</w:t>
      </w:r>
      <w:r w:rsidR="00C26152">
        <w:t>en</w:t>
      </w:r>
      <w:r w:rsidR="00A34898" w:rsidRPr="00796600">
        <w:br/>
      </w:r>
      <w:r w:rsidR="007B5FE2" w:rsidRPr="003A7A41">
        <w:t>zum</w:t>
      </w:r>
      <w:r w:rsidR="003D7B0B" w:rsidRPr="003A7A41">
        <w:t xml:space="preserve"> Stellenplan 20</w:t>
      </w:r>
      <w:r w:rsidR="00E37194">
        <w:t>2</w:t>
      </w:r>
      <w:r w:rsidR="002A155F">
        <w:t>4</w:t>
      </w:r>
    </w:p>
    <w:p w14:paraId="6490674F" w14:textId="77777777" w:rsidR="003D7B0B" w:rsidRDefault="003D7B0B" w:rsidP="006E0575"/>
    <w:p w14:paraId="12D8255B" w14:textId="77777777" w:rsidR="003D7B0B" w:rsidRDefault="003D7B0B" w:rsidP="006E0575"/>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891246" w:rsidRPr="006E0575" w14:paraId="61004FB4" w14:textId="77777777" w:rsidTr="002A155F">
        <w:trPr>
          <w:tblHeader/>
        </w:trPr>
        <w:tc>
          <w:tcPr>
            <w:tcW w:w="1701" w:type="dxa"/>
            <w:shd w:val="pct12" w:color="auto" w:fill="FFFFFF"/>
          </w:tcPr>
          <w:p w14:paraId="091DDDDE" w14:textId="77777777" w:rsidR="00CE7D5B" w:rsidRDefault="00E37194" w:rsidP="00E248AF">
            <w:pPr>
              <w:spacing w:before="120" w:after="120" w:line="200" w:lineRule="exact"/>
              <w:rPr>
                <w:sz w:val="16"/>
                <w:szCs w:val="16"/>
              </w:rPr>
            </w:pPr>
            <w:r>
              <w:rPr>
                <w:sz w:val="16"/>
                <w:szCs w:val="16"/>
              </w:rPr>
              <w:t>Stellennummer</w:t>
            </w:r>
            <w:r w:rsidR="002C2BCF">
              <w:rPr>
                <w:sz w:val="16"/>
                <w:szCs w:val="16"/>
              </w:rPr>
              <w:t>,</w:t>
            </w:r>
          </w:p>
          <w:p w14:paraId="59D53DE7" w14:textId="77777777" w:rsidR="00891246" w:rsidRPr="006E0575" w:rsidRDefault="009B0FBE" w:rsidP="00E248AF">
            <w:pPr>
              <w:spacing w:before="120" w:after="120" w:line="200" w:lineRule="exact"/>
              <w:rPr>
                <w:sz w:val="16"/>
                <w:szCs w:val="16"/>
              </w:rPr>
            </w:pPr>
            <w:r>
              <w:rPr>
                <w:sz w:val="16"/>
                <w:szCs w:val="16"/>
              </w:rPr>
              <w:t>Kostenstelle</w:t>
            </w:r>
          </w:p>
        </w:tc>
        <w:tc>
          <w:tcPr>
            <w:tcW w:w="1701" w:type="dxa"/>
            <w:shd w:val="pct12" w:color="auto" w:fill="FFFFFF"/>
          </w:tcPr>
          <w:p w14:paraId="64B49FDB" w14:textId="77777777" w:rsidR="00891246" w:rsidRPr="006E0575" w:rsidRDefault="00891246" w:rsidP="00E248AF">
            <w:pPr>
              <w:spacing w:before="120" w:after="120" w:line="200" w:lineRule="exact"/>
              <w:rPr>
                <w:sz w:val="16"/>
                <w:szCs w:val="16"/>
              </w:rPr>
            </w:pPr>
            <w:r w:rsidRPr="006E0575">
              <w:rPr>
                <w:sz w:val="16"/>
                <w:szCs w:val="16"/>
              </w:rPr>
              <w:t>Amt</w:t>
            </w:r>
          </w:p>
        </w:tc>
        <w:tc>
          <w:tcPr>
            <w:tcW w:w="851" w:type="dxa"/>
            <w:shd w:val="pct12" w:color="auto" w:fill="FFFFFF"/>
          </w:tcPr>
          <w:p w14:paraId="006585B4" w14:textId="77777777" w:rsidR="00CE7D5B" w:rsidRDefault="007B5FE2" w:rsidP="00E248AF">
            <w:pPr>
              <w:spacing w:before="120" w:after="120" w:line="200" w:lineRule="exact"/>
              <w:rPr>
                <w:sz w:val="16"/>
                <w:szCs w:val="16"/>
              </w:rPr>
            </w:pPr>
            <w:r>
              <w:rPr>
                <w:sz w:val="16"/>
                <w:szCs w:val="16"/>
              </w:rPr>
              <w:t>BesGr.</w:t>
            </w:r>
          </w:p>
          <w:p w14:paraId="51C70881" w14:textId="77777777" w:rsidR="00CE7D5B" w:rsidRDefault="007B5FE2" w:rsidP="00E248AF">
            <w:pPr>
              <w:spacing w:before="120" w:after="120" w:line="200" w:lineRule="exact"/>
              <w:rPr>
                <w:sz w:val="16"/>
                <w:szCs w:val="16"/>
              </w:rPr>
            </w:pPr>
            <w:r>
              <w:rPr>
                <w:sz w:val="16"/>
                <w:szCs w:val="16"/>
              </w:rPr>
              <w:t>oder</w:t>
            </w:r>
          </w:p>
          <w:p w14:paraId="5B9E2CF5" w14:textId="77777777" w:rsidR="007B5FE2" w:rsidRPr="006E0575" w:rsidRDefault="007B5FE2" w:rsidP="00E248AF">
            <w:pPr>
              <w:spacing w:before="120" w:after="120" w:line="200" w:lineRule="exact"/>
              <w:rPr>
                <w:sz w:val="16"/>
                <w:szCs w:val="16"/>
              </w:rPr>
            </w:pPr>
            <w:r>
              <w:rPr>
                <w:sz w:val="16"/>
                <w:szCs w:val="16"/>
              </w:rPr>
              <w:t>EG</w:t>
            </w:r>
          </w:p>
        </w:tc>
        <w:tc>
          <w:tcPr>
            <w:tcW w:w="1701" w:type="dxa"/>
            <w:shd w:val="pct12" w:color="auto" w:fill="FFFFFF"/>
          </w:tcPr>
          <w:p w14:paraId="5E2F910A" w14:textId="77777777" w:rsidR="00891246" w:rsidRPr="006E0575" w:rsidRDefault="00891246" w:rsidP="00E248AF">
            <w:pPr>
              <w:spacing w:before="120" w:after="120" w:line="200" w:lineRule="exact"/>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851" w:type="dxa"/>
            <w:shd w:val="pct12" w:color="auto" w:fill="FFFFFF"/>
          </w:tcPr>
          <w:p w14:paraId="61DC04E6" w14:textId="77777777" w:rsidR="00891246" w:rsidRPr="006E0575" w:rsidRDefault="00891246" w:rsidP="00D60BEF">
            <w:pPr>
              <w:spacing w:before="120" w:after="120" w:line="200" w:lineRule="exact"/>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50B4C458" w14:textId="77777777" w:rsidR="00891246" w:rsidRPr="006E0575" w:rsidRDefault="00891246" w:rsidP="00E248AF">
            <w:pPr>
              <w:spacing w:before="120" w:after="120" w:line="200" w:lineRule="exact"/>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588" w:type="dxa"/>
            <w:shd w:val="pct12" w:color="auto" w:fill="FFFFFF"/>
          </w:tcPr>
          <w:p w14:paraId="41DD472D" w14:textId="77777777" w:rsidR="00891246" w:rsidRPr="006E0575" w:rsidRDefault="00891246" w:rsidP="00D60BEF">
            <w:pPr>
              <w:spacing w:before="120" w:after="120" w:line="200" w:lineRule="exact"/>
              <w:rPr>
                <w:sz w:val="16"/>
                <w:szCs w:val="16"/>
              </w:rPr>
            </w:pPr>
            <w:r>
              <w:rPr>
                <w:sz w:val="16"/>
                <w:szCs w:val="16"/>
              </w:rPr>
              <w:t>d</w:t>
            </w:r>
            <w:r w:rsidRPr="006E0575">
              <w:rPr>
                <w:sz w:val="16"/>
                <w:szCs w:val="16"/>
              </w:rPr>
              <w:t>urchschnit</w:t>
            </w:r>
            <w:r>
              <w:rPr>
                <w:sz w:val="16"/>
                <w:szCs w:val="16"/>
              </w:rPr>
              <w:t>tl</w:t>
            </w:r>
            <w:r w:rsidR="00E248AF">
              <w:rPr>
                <w:sz w:val="16"/>
                <w:szCs w:val="16"/>
              </w:rPr>
              <w:t>icher</w:t>
            </w:r>
            <w:r>
              <w:rPr>
                <w:sz w:val="16"/>
                <w:szCs w:val="16"/>
              </w:rPr>
              <w:br/>
            </w:r>
            <w:r w:rsidRPr="006E0575">
              <w:rPr>
                <w:sz w:val="16"/>
                <w:szCs w:val="16"/>
              </w:rPr>
              <w:t>jährl</w:t>
            </w:r>
            <w:r w:rsidR="00E248AF">
              <w:rPr>
                <w:sz w:val="16"/>
                <w:szCs w:val="16"/>
              </w:rPr>
              <w:t>icher</w:t>
            </w:r>
            <w:r w:rsidR="00E248AF">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2A155F" w:rsidRPr="006E0575" w14:paraId="333BE8C9" w14:textId="77777777" w:rsidTr="002A155F">
        <w:tc>
          <w:tcPr>
            <w:tcW w:w="1701" w:type="dxa"/>
          </w:tcPr>
          <w:p w14:paraId="63FE9BBB" w14:textId="77777777" w:rsidR="002A155F" w:rsidRPr="00AA1B10" w:rsidRDefault="002A155F" w:rsidP="002A155F">
            <w:pPr>
              <w:rPr>
                <w:rFonts w:cs="Arial"/>
                <w:sz w:val="20"/>
                <w:szCs w:val="20"/>
              </w:rPr>
            </w:pPr>
          </w:p>
          <w:p w14:paraId="39A951FD" w14:textId="37F53E48" w:rsidR="002A155F" w:rsidRPr="00AA1B10" w:rsidRDefault="000F772D" w:rsidP="002A155F">
            <w:pPr>
              <w:rPr>
                <w:rFonts w:cs="Arial"/>
                <w:sz w:val="20"/>
                <w:szCs w:val="20"/>
              </w:rPr>
            </w:pPr>
            <w:r>
              <w:rPr>
                <w:rFonts w:cs="Arial"/>
                <w:sz w:val="20"/>
                <w:szCs w:val="20"/>
              </w:rPr>
              <w:t>29</w:t>
            </w:r>
            <w:r w:rsidR="000F4A5C">
              <w:rPr>
                <w:rFonts w:cs="Arial"/>
                <w:sz w:val="20"/>
                <w:szCs w:val="20"/>
              </w:rPr>
              <w:t>0.</w:t>
            </w:r>
            <w:r>
              <w:rPr>
                <w:rFonts w:cs="Arial"/>
                <w:sz w:val="20"/>
                <w:szCs w:val="20"/>
              </w:rPr>
              <w:t>2</w:t>
            </w:r>
            <w:r w:rsidR="002216EF">
              <w:rPr>
                <w:rFonts w:cs="Arial"/>
                <w:sz w:val="20"/>
                <w:szCs w:val="20"/>
              </w:rPr>
              <w:t>030</w:t>
            </w:r>
            <w:r w:rsidR="000F4A5C">
              <w:rPr>
                <w:rFonts w:cs="Arial"/>
                <w:sz w:val="20"/>
                <w:szCs w:val="20"/>
              </w:rPr>
              <w:t>.</w:t>
            </w:r>
            <w:r w:rsidR="002216EF">
              <w:rPr>
                <w:rFonts w:cs="Arial"/>
                <w:sz w:val="20"/>
                <w:szCs w:val="20"/>
              </w:rPr>
              <w:t>070</w:t>
            </w:r>
          </w:p>
          <w:p w14:paraId="065314C5" w14:textId="77777777" w:rsidR="002A155F" w:rsidRDefault="002A155F" w:rsidP="002A155F">
            <w:pPr>
              <w:rPr>
                <w:rFonts w:cs="Arial"/>
                <w:sz w:val="20"/>
                <w:szCs w:val="20"/>
              </w:rPr>
            </w:pPr>
          </w:p>
          <w:p w14:paraId="3C508FC6" w14:textId="77777777" w:rsidR="002A155F" w:rsidRDefault="002A155F" w:rsidP="002A155F">
            <w:pPr>
              <w:rPr>
                <w:rFonts w:cs="Arial"/>
                <w:sz w:val="20"/>
                <w:szCs w:val="20"/>
              </w:rPr>
            </w:pPr>
            <w:r w:rsidRPr="000F772D">
              <w:rPr>
                <w:rFonts w:cs="Arial"/>
                <w:sz w:val="20"/>
                <w:szCs w:val="20"/>
              </w:rPr>
              <w:t>2910 1020</w:t>
            </w:r>
          </w:p>
          <w:p w14:paraId="79A88055" w14:textId="77777777" w:rsidR="002A155F" w:rsidRPr="00AA1B10" w:rsidRDefault="002A155F" w:rsidP="002A155F">
            <w:pPr>
              <w:rPr>
                <w:rFonts w:cs="Arial"/>
                <w:sz w:val="20"/>
                <w:szCs w:val="20"/>
              </w:rPr>
            </w:pPr>
          </w:p>
        </w:tc>
        <w:tc>
          <w:tcPr>
            <w:tcW w:w="1701" w:type="dxa"/>
          </w:tcPr>
          <w:p w14:paraId="5050422D" w14:textId="77777777" w:rsidR="002A155F" w:rsidRDefault="002A155F" w:rsidP="002A155F">
            <w:pPr>
              <w:rPr>
                <w:sz w:val="20"/>
              </w:rPr>
            </w:pPr>
          </w:p>
          <w:p w14:paraId="32079795" w14:textId="53FB4823" w:rsidR="002A155F" w:rsidRPr="006E0575" w:rsidRDefault="002216EF" w:rsidP="002A155F">
            <w:pPr>
              <w:rPr>
                <w:sz w:val="20"/>
              </w:rPr>
            </w:pPr>
            <w:r>
              <w:rPr>
                <w:sz w:val="20"/>
              </w:rPr>
              <w:t>Jobcenter</w:t>
            </w:r>
          </w:p>
        </w:tc>
        <w:tc>
          <w:tcPr>
            <w:tcW w:w="851" w:type="dxa"/>
          </w:tcPr>
          <w:p w14:paraId="684F03CC" w14:textId="77777777" w:rsidR="002A155F" w:rsidRDefault="002A155F" w:rsidP="002A155F">
            <w:pPr>
              <w:rPr>
                <w:sz w:val="20"/>
              </w:rPr>
            </w:pPr>
          </w:p>
          <w:p w14:paraId="3A518CB1" w14:textId="77777777" w:rsidR="002A155F" w:rsidRDefault="002A155F" w:rsidP="002A155F">
            <w:pPr>
              <w:rPr>
                <w:sz w:val="20"/>
              </w:rPr>
            </w:pPr>
            <w:r>
              <w:rPr>
                <w:sz w:val="20"/>
              </w:rPr>
              <w:t>EG 10</w:t>
            </w:r>
          </w:p>
          <w:p w14:paraId="658F2523" w14:textId="77777777" w:rsidR="002A155F" w:rsidRDefault="002A155F" w:rsidP="002A155F">
            <w:pPr>
              <w:rPr>
                <w:sz w:val="20"/>
              </w:rPr>
            </w:pPr>
          </w:p>
          <w:p w14:paraId="3F908A74" w14:textId="77777777" w:rsidR="002A155F" w:rsidRDefault="002A155F" w:rsidP="002A155F">
            <w:pPr>
              <w:rPr>
                <w:sz w:val="20"/>
              </w:rPr>
            </w:pPr>
          </w:p>
          <w:p w14:paraId="271C5CB5" w14:textId="77777777" w:rsidR="002A155F" w:rsidRPr="006E0575" w:rsidRDefault="002A155F" w:rsidP="002A155F">
            <w:pPr>
              <w:rPr>
                <w:sz w:val="20"/>
              </w:rPr>
            </w:pPr>
          </w:p>
        </w:tc>
        <w:tc>
          <w:tcPr>
            <w:tcW w:w="1701" w:type="dxa"/>
          </w:tcPr>
          <w:p w14:paraId="061D5A0F" w14:textId="77777777" w:rsidR="002A155F" w:rsidRDefault="002A155F" w:rsidP="002A155F">
            <w:pPr>
              <w:rPr>
                <w:sz w:val="20"/>
              </w:rPr>
            </w:pPr>
          </w:p>
          <w:p w14:paraId="2F149DCF" w14:textId="558AAA7D" w:rsidR="002A155F" w:rsidRDefault="00373014" w:rsidP="002A155F">
            <w:pPr>
              <w:rPr>
                <w:sz w:val="20"/>
              </w:rPr>
            </w:pPr>
            <w:r>
              <w:rPr>
                <w:sz w:val="20"/>
              </w:rPr>
              <w:t>Sachbearbeiter/ -</w:t>
            </w:r>
            <w:r w:rsidR="002A155F">
              <w:rPr>
                <w:sz w:val="20"/>
              </w:rPr>
              <w:t>in</w:t>
            </w:r>
            <w:r w:rsidR="002216EF">
              <w:rPr>
                <w:sz w:val="20"/>
              </w:rPr>
              <w:t xml:space="preserve"> Widerspruch</w:t>
            </w:r>
          </w:p>
          <w:p w14:paraId="44F6D60E" w14:textId="77777777" w:rsidR="002A155F" w:rsidRDefault="002A155F" w:rsidP="002A155F">
            <w:pPr>
              <w:rPr>
                <w:sz w:val="20"/>
              </w:rPr>
            </w:pPr>
          </w:p>
          <w:p w14:paraId="4C7EB858" w14:textId="77777777" w:rsidR="002A155F" w:rsidRPr="006E0575" w:rsidRDefault="002A155F" w:rsidP="002A155F">
            <w:pPr>
              <w:rPr>
                <w:sz w:val="20"/>
              </w:rPr>
            </w:pPr>
          </w:p>
        </w:tc>
        <w:tc>
          <w:tcPr>
            <w:tcW w:w="851" w:type="dxa"/>
            <w:shd w:val="pct12" w:color="auto" w:fill="FFFFFF"/>
          </w:tcPr>
          <w:p w14:paraId="3472D8F8" w14:textId="77777777" w:rsidR="002A155F" w:rsidRDefault="002A155F" w:rsidP="002A155F">
            <w:pPr>
              <w:rPr>
                <w:sz w:val="20"/>
              </w:rPr>
            </w:pPr>
          </w:p>
          <w:p w14:paraId="34FA6322" w14:textId="77777777" w:rsidR="002A155F" w:rsidRDefault="000F772D" w:rsidP="002A155F">
            <w:pPr>
              <w:rPr>
                <w:sz w:val="20"/>
              </w:rPr>
            </w:pPr>
            <w:r>
              <w:rPr>
                <w:sz w:val="20"/>
              </w:rPr>
              <w:t>0,50</w:t>
            </w:r>
          </w:p>
          <w:p w14:paraId="04B9DC4F" w14:textId="77777777" w:rsidR="002A155F" w:rsidRDefault="002A155F" w:rsidP="002A155F">
            <w:pPr>
              <w:rPr>
                <w:sz w:val="20"/>
              </w:rPr>
            </w:pPr>
          </w:p>
          <w:p w14:paraId="694564B7" w14:textId="77777777" w:rsidR="002A155F" w:rsidRDefault="002A155F" w:rsidP="002A155F">
            <w:pPr>
              <w:rPr>
                <w:sz w:val="20"/>
              </w:rPr>
            </w:pPr>
          </w:p>
          <w:p w14:paraId="2635AC28" w14:textId="77777777" w:rsidR="002A155F" w:rsidRPr="006E0575" w:rsidRDefault="002A155F" w:rsidP="002A155F">
            <w:pPr>
              <w:rPr>
                <w:sz w:val="20"/>
              </w:rPr>
            </w:pPr>
          </w:p>
        </w:tc>
        <w:tc>
          <w:tcPr>
            <w:tcW w:w="1134" w:type="dxa"/>
          </w:tcPr>
          <w:p w14:paraId="741A2EAE" w14:textId="77777777" w:rsidR="002A155F" w:rsidRDefault="002A155F" w:rsidP="002A155F">
            <w:pPr>
              <w:rPr>
                <w:sz w:val="20"/>
              </w:rPr>
            </w:pPr>
          </w:p>
          <w:p w14:paraId="2B7DB33C" w14:textId="77777777" w:rsidR="002A155F" w:rsidRDefault="002A155F" w:rsidP="002A155F">
            <w:pPr>
              <w:rPr>
                <w:sz w:val="20"/>
              </w:rPr>
            </w:pPr>
            <w:r>
              <w:rPr>
                <w:sz w:val="20"/>
              </w:rPr>
              <w:t>KW 01/2024</w:t>
            </w:r>
          </w:p>
          <w:p w14:paraId="1051DF8A" w14:textId="77777777" w:rsidR="002A155F" w:rsidRDefault="002A155F" w:rsidP="002A155F">
            <w:pPr>
              <w:rPr>
                <w:sz w:val="20"/>
              </w:rPr>
            </w:pPr>
          </w:p>
          <w:p w14:paraId="0D64A88C" w14:textId="0E2ECEB8" w:rsidR="00DB4728" w:rsidRPr="006E0575" w:rsidRDefault="00DB4728" w:rsidP="002A155F">
            <w:pPr>
              <w:rPr>
                <w:sz w:val="20"/>
              </w:rPr>
            </w:pPr>
          </w:p>
        </w:tc>
        <w:tc>
          <w:tcPr>
            <w:tcW w:w="1588" w:type="dxa"/>
          </w:tcPr>
          <w:p w14:paraId="69A2AF37" w14:textId="77777777" w:rsidR="002A155F" w:rsidRDefault="002A155F" w:rsidP="002A155F">
            <w:pPr>
              <w:rPr>
                <w:sz w:val="20"/>
              </w:rPr>
            </w:pPr>
          </w:p>
          <w:p w14:paraId="2128BF34" w14:textId="56632187" w:rsidR="002A155F" w:rsidRPr="006E0575" w:rsidRDefault="002A155F" w:rsidP="00373014">
            <w:pPr>
              <w:rPr>
                <w:sz w:val="20"/>
              </w:rPr>
            </w:pPr>
            <w:bookmarkStart w:id="0" w:name="_GoBack"/>
            <w:bookmarkEnd w:id="0"/>
          </w:p>
        </w:tc>
      </w:tr>
    </w:tbl>
    <w:p w14:paraId="44DF77C3" w14:textId="77777777" w:rsidR="00F96AC8" w:rsidRDefault="00F96AC8" w:rsidP="00F96AC8">
      <w:pPr>
        <w:rPr>
          <w:sz w:val="16"/>
          <w:szCs w:val="16"/>
        </w:rPr>
      </w:pPr>
      <w:r>
        <w:rPr>
          <w:b/>
          <w:sz w:val="16"/>
          <w:szCs w:val="16"/>
        </w:rPr>
        <w:t>*)</w:t>
      </w:r>
      <w:r>
        <w:rPr>
          <w:rFonts w:ascii="Helv" w:hAnsi="Helv" w:cs="Helv"/>
          <w:color w:val="000000"/>
          <w:sz w:val="16"/>
          <w:szCs w:val="16"/>
        </w:rPr>
        <w:t xml:space="preserve">   </w:t>
      </w:r>
      <w:r>
        <w:rPr>
          <w:sz w:val="16"/>
          <w:szCs w:val="16"/>
        </w:rPr>
        <w:t>Gemäß Kommunalträger-Abrechnungsverwaltungsvorschrift (KoA-VV) erfolgt die Abrechnung der Personalkosten fach-</w:t>
      </w:r>
    </w:p>
    <w:p w14:paraId="4C023B3F" w14:textId="77777777" w:rsidR="00F96AC8" w:rsidRDefault="00F96AC8" w:rsidP="00F96AC8">
      <w:pPr>
        <w:rPr>
          <w:sz w:val="16"/>
          <w:szCs w:val="16"/>
        </w:rPr>
      </w:pPr>
      <w:r>
        <w:rPr>
          <w:sz w:val="16"/>
          <w:szCs w:val="16"/>
        </w:rPr>
        <w:t xml:space="preserve">      spezifischer Stellen mit dem Bund spitz, für die Personalneben-, Sach- und Gemeinkosten werden Pauschalen zugrunde gelegt.</w:t>
      </w:r>
    </w:p>
    <w:p w14:paraId="0CA7BDB3" w14:textId="77777777" w:rsidR="00F96AC8" w:rsidRDefault="00F96AC8" w:rsidP="00F96AC8">
      <w:pPr>
        <w:rPr>
          <w:sz w:val="16"/>
          <w:szCs w:val="16"/>
        </w:rPr>
      </w:pPr>
      <w:r>
        <w:rPr>
          <w:sz w:val="16"/>
          <w:szCs w:val="16"/>
        </w:rPr>
        <w:t xml:space="preserve">      Der Anteil   des Bundes an den Kosten beträgt 84,8 Prozent, der kommunale Finanzierungsanteil (KFA) beträgt 15,2 Prozent.</w:t>
      </w:r>
    </w:p>
    <w:p w14:paraId="1A253F64" w14:textId="77777777" w:rsidR="00F96AC8" w:rsidRDefault="00F96AC8" w:rsidP="00F96AC8">
      <w:pPr>
        <w:rPr>
          <w:sz w:val="16"/>
          <w:szCs w:val="16"/>
        </w:rPr>
      </w:pPr>
      <w:r>
        <w:rPr>
          <w:sz w:val="16"/>
          <w:szCs w:val="16"/>
        </w:rPr>
        <w:t xml:space="preserve">      Inklusive aller Pauschalen übersteigt die Erstattung des Bundes den kostenwirksamen Aufwand, der bei der LHS für die fach-</w:t>
      </w:r>
    </w:p>
    <w:p w14:paraId="0D671683" w14:textId="3B1DFAB5" w:rsidR="00694161" w:rsidRDefault="00F96AC8" w:rsidP="00694161">
      <w:r>
        <w:rPr>
          <w:sz w:val="16"/>
          <w:szCs w:val="16"/>
        </w:rPr>
        <w:t xml:space="preserve">      spezifische(n) Stelle(n) entsteht.</w:t>
      </w:r>
    </w:p>
    <w:p w14:paraId="46D767F8" w14:textId="77777777" w:rsidR="002A155F" w:rsidRDefault="002A155F" w:rsidP="00694161"/>
    <w:p w14:paraId="424F99AD" w14:textId="77777777" w:rsidR="00AE5732" w:rsidRPr="00694161" w:rsidRDefault="00AE5732" w:rsidP="00694161"/>
    <w:p w14:paraId="50BC80C4" w14:textId="1FDBFEBD" w:rsidR="003D7B0B" w:rsidRPr="007957E2" w:rsidRDefault="00694161" w:rsidP="00796600">
      <w:pPr>
        <w:pStyle w:val="berschrift2"/>
      </w:pPr>
      <w:r w:rsidRPr="007957E2">
        <w:t>Begründung:</w:t>
      </w:r>
    </w:p>
    <w:p w14:paraId="6AA4B9B7" w14:textId="77777777" w:rsidR="003D7B0B" w:rsidRDefault="003D7B0B" w:rsidP="00694161"/>
    <w:p w14:paraId="4C758B81" w14:textId="23518AFF" w:rsidR="002A155F" w:rsidRPr="00DC4C59" w:rsidRDefault="002A155F" w:rsidP="002A155F">
      <w:r w:rsidRPr="00DC4C59">
        <w:t xml:space="preserve">Im Kontext </w:t>
      </w:r>
      <w:r>
        <w:t xml:space="preserve">der Flüchtlingswelle und </w:t>
      </w:r>
      <w:r w:rsidRPr="00DC4C59">
        <w:t xml:space="preserve">steigender Flüchtlingszahlen </w:t>
      </w:r>
      <w:r>
        <w:t xml:space="preserve">im Rechtskreis SGB II </w:t>
      </w:r>
      <w:r w:rsidRPr="00DC4C59">
        <w:t xml:space="preserve">wurden mit dem Geschäftsplan 2016 des Jobcenters (GRDrs. 1209/2015, Anlage 10) </w:t>
      </w:r>
      <w:r w:rsidR="00580786">
        <w:t>0</w:t>
      </w:r>
      <w:r w:rsidR="00373014">
        <w:t>,50 Stellen</w:t>
      </w:r>
      <w:r>
        <w:t xml:space="preserve"> TVöD EG 10,</w:t>
      </w:r>
      <w:r w:rsidRPr="00DC4C59">
        <w:t xml:space="preserve"> zunächst befristet bis 31.12.2017, für die Sachbearbeitung im Sachgebiet </w:t>
      </w:r>
      <w:r w:rsidR="00580786">
        <w:t xml:space="preserve">Widerspruch </w:t>
      </w:r>
      <w:r w:rsidRPr="00DC4C59">
        <w:t>in der Abteilung Grundsatz und Recht geschaffen. Die Stelle wurde zuletzt zum Stellenplan 202</w:t>
      </w:r>
      <w:r>
        <w:t>2</w:t>
      </w:r>
      <w:r w:rsidRPr="00DC4C59">
        <w:t xml:space="preserve"> (GRDrs. </w:t>
      </w:r>
      <w:r>
        <w:t>705</w:t>
      </w:r>
      <w:r w:rsidRPr="00DC4C59">
        <w:t>/20</w:t>
      </w:r>
      <w:r>
        <w:t>2</w:t>
      </w:r>
      <w:r w:rsidR="00235ED9">
        <w:t>1</w:t>
      </w:r>
      <w:r w:rsidRPr="00DC4C59">
        <w:t xml:space="preserve">, Anlage </w:t>
      </w:r>
      <w:r>
        <w:t>12</w:t>
      </w:r>
      <w:r w:rsidRPr="00DC4C59">
        <w:t>) bis 01/202</w:t>
      </w:r>
      <w:r>
        <w:t>4</w:t>
      </w:r>
      <w:r w:rsidRPr="00DC4C59">
        <w:t xml:space="preserve"> verlängert.</w:t>
      </w:r>
    </w:p>
    <w:p w14:paraId="5475AE87" w14:textId="77777777" w:rsidR="003D7B0B" w:rsidRDefault="003D7B0B" w:rsidP="00694161"/>
    <w:p w14:paraId="41B542A4" w14:textId="77777777" w:rsidR="00BD3B69" w:rsidRDefault="006B297B" w:rsidP="0093006F">
      <w:r w:rsidRPr="00FC5D2E">
        <w:t>Die Aufgaben haben sich im sechsten Jahr in Folge verstetigt</w:t>
      </w:r>
      <w:r>
        <w:t xml:space="preserve">. </w:t>
      </w:r>
      <w:r w:rsidR="00F058E7">
        <w:t xml:space="preserve">Es wird mit einer weiteren deutlichen Zunahme der Bedarfsgemeinschaften im Fluchtkontext gerechnet. </w:t>
      </w:r>
    </w:p>
    <w:p w14:paraId="77B61A82" w14:textId="77777777" w:rsidR="00AE5732" w:rsidRDefault="00AE5732" w:rsidP="00BD3B69">
      <w:pPr>
        <w:autoSpaceDE w:val="0"/>
        <w:autoSpaceDN w:val="0"/>
        <w:adjustRightInd w:val="0"/>
        <w:rPr>
          <w:rFonts w:cs="Arial"/>
        </w:rPr>
      </w:pPr>
    </w:p>
    <w:p w14:paraId="26E4DA56" w14:textId="29B73DD6" w:rsidR="000F772D" w:rsidRPr="0093006F" w:rsidRDefault="00F058E7" w:rsidP="0093006F">
      <w:r>
        <w:t>Im Sachgebiet Widerspruch werden sämt</w:t>
      </w:r>
      <w:r w:rsidR="00DB4728">
        <w:t>liche das Jobcenter betreffende</w:t>
      </w:r>
      <w:r>
        <w:t xml:space="preserve"> Widerspruchs- und Sozialgerichtsverfahren aller Instanzen bearbeitet. Die Gewährleistung des Rechtsanspruchs auf Entscheidung über einen Widerspruch binnen drei Monaten ist andernfalls </w:t>
      </w:r>
      <w:r w:rsidR="000F772D">
        <w:t>nicht durchführbar. Nicht rechtzeitig entschiedene Widersprüche könne</w:t>
      </w:r>
      <w:r w:rsidR="00E8660F">
        <w:t>n</w:t>
      </w:r>
      <w:r w:rsidR="000F772D">
        <w:t xml:space="preserve"> zudem zu kostenverursachenden Untätigkeitsklagen führen.</w:t>
      </w:r>
      <w:r w:rsidR="00AE5732">
        <w:t xml:space="preserve"> </w:t>
      </w:r>
      <w:r w:rsidR="000F772D">
        <w:t>In Rückforderungsfällen können Finanzmittel des Bundes und der Stadt, die zu Unrecht gewährt wurden, nicht mehr durchgesetzt und zurückgeführt werden, soweit die Ausschlussfrist greift.</w:t>
      </w:r>
    </w:p>
    <w:p w14:paraId="3498E4D1" w14:textId="77777777" w:rsidR="002A155F" w:rsidRDefault="002A155F" w:rsidP="00694161"/>
    <w:p w14:paraId="0C2645C8" w14:textId="708996D1" w:rsidR="00D04BF5" w:rsidRDefault="00AE5732" w:rsidP="00D04BF5">
      <w:pPr>
        <w:rPr>
          <w:rFonts w:eastAsiaTheme="minorHAnsi" w:cstheme="minorBidi"/>
          <w:lang w:eastAsia="en-US"/>
        </w:rPr>
      </w:pPr>
      <w:r w:rsidRPr="00530F68">
        <w:rPr>
          <w:rFonts w:cs="Arial"/>
        </w:rPr>
        <w:t xml:space="preserve">Für den Doppelhaushalt 2024/2025 werden steigende Fallzahlen, insbesondere als Auswirkung des Krieges in der Ukraine und dem Rechtskreiswechsel von geflüchteten Menschen aus der Ukraine vom Asylbewerberleistungsgesetz in die Grundsicherung nach dem Sozialgesetzbuch II (SGB II) am 1. Juni 2022 prognostiziert. </w:t>
      </w:r>
      <w:r w:rsidR="00D04BF5" w:rsidRPr="00E27F93">
        <w:rPr>
          <w:rFonts w:eastAsiaTheme="minorHAnsi" w:cstheme="minorBidi"/>
          <w:lang w:eastAsia="en-US"/>
        </w:rPr>
        <w:t>Die Umsetzung des Bürgergelds als bisher größte Reform der Grundsicherung für Arbeitssuchende führt darüber hinaus zur Arbeitsverdichtung.</w:t>
      </w:r>
    </w:p>
    <w:p w14:paraId="4C37B880" w14:textId="486079DF" w:rsidR="00E86C9B" w:rsidRPr="00E86C9B" w:rsidRDefault="00E86C9B" w:rsidP="00E86C9B">
      <w:pPr>
        <w:rPr>
          <w:rFonts w:eastAsiaTheme="minorHAnsi" w:cstheme="minorBidi"/>
          <w:lang w:eastAsia="en-US"/>
        </w:rPr>
      </w:pPr>
      <w:r w:rsidRPr="00E86C9B">
        <w:rPr>
          <w:rFonts w:eastAsiaTheme="minorHAnsi" w:cstheme="minorBidi"/>
          <w:lang w:eastAsia="en-US"/>
        </w:rPr>
        <w:lastRenderedPageBreak/>
        <w:t>Die Entwicklung der Fallzahlen, differenziert nach Gesamt und Flucht, und die der Mitarbeitenden sowie Stellen und Ermächtigungen stellt sich sei</w:t>
      </w:r>
      <w:r w:rsidR="00373014">
        <w:rPr>
          <w:rFonts w:eastAsiaTheme="minorHAnsi" w:cstheme="minorBidi"/>
          <w:lang w:eastAsia="en-US"/>
        </w:rPr>
        <w:t>t 2015 (</w:t>
      </w:r>
      <w:r w:rsidRPr="00E86C9B">
        <w:rPr>
          <w:rFonts w:eastAsiaTheme="minorHAnsi" w:cstheme="minorBidi"/>
          <w:lang w:eastAsia="en-US"/>
        </w:rPr>
        <w:t xml:space="preserve">2015 konnte noch keine ausdifferenzierte Auswertung hinsichtlich Flucht erfolgen) wie folgt dar: </w:t>
      </w:r>
    </w:p>
    <w:p w14:paraId="641F31FE" w14:textId="77777777" w:rsidR="00E86C9B" w:rsidRDefault="00E86C9B" w:rsidP="00694161"/>
    <w:p w14:paraId="160E5E94" w14:textId="53AC82CD" w:rsidR="00E86C9B" w:rsidRDefault="00E86C9B" w:rsidP="00694161">
      <w:r>
        <w:rPr>
          <w:noProof/>
        </w:rPr>
        <w:drawing>
          <wp:inline distT="0" distB="0" distL="0" distR="0" wp14:anchorId="1C22CC8A" wp14:editId="7F30A3C8">
            <wp:extent cx="5940425" cy="2413298"/>
            <wp:effectExtent l="0" t="0" r="317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413298"/>
                    </a:xfrm>
                    <a:prstGeom prst="rect">
                      <a:avLst/>
                    </a:prstGeom>
                  </pic:spPr>
                </pic:pic>
              </a:graphicData>
            </a:graphic>
          </wp:inline>
        </w:drawing>
      </w:r>
    </w:p>
    <w:p w14:paraId="34BD18A6" w14:textId="77777777" w:rsidR="00FC5D2E" w:rsidRDefault="00FC5D2E" w:rsidP="00694161"/>
    <w:p w14:paraId="58F4D9F1" w14:textId="77777777" w:rsidR="00AE5732" w:rsidRDefault="00AE5732" w:rsidP="00AE5732">
      <w:pPr>
        <w:rPr>
          <w:rFonts w:eastAsiaTheme="minorHAnsi" w:cstheme="minorBidi"/>
          <w:lang w:eastAsia="en-US"/>
        </w:rPr>
      </w:pPr>
      <w:r>
        <w:rPr>
          <w:rFonts w:eastAsiaTheme="minorHAnsi" w:cstheme="minorBidi"/>
          <w:lang w:eastAsia="en-US"/>
        </w:rPr>
        <w:t xml:space="preserve">Seit 2016 haben die wirtschaftlichen, politischen und gesellschaftlichen Entwicklungen im In- und Ausland zur Verstetigung der Kundenzahlen insgesamt geführt, und einer damit verbundenen Verstetigung der Personalbedarfe. </w:t>
      </w:r>
    </w:p>
    <w:p w14:paraId="3681DEBA" w14:textId="77777777" w:rsidR="00AE5732" w:rsidRDefault="00AE5732" w:rsidP="00FC5D2E">
      <w:pPr>
        <w:rPr>
          <w:szCs w:val="22"/>
        </w:rPr>
      </w:pPr>
    </w:p>
    <w:p w14:paraId="7536D12B" w14:textId="144179BC" w:rsidR="00FC5D2E" w:rsidRPr="001D76F6" w:rsidRDefault="00FC5D2E" w:rsidP="00FC5D2E">
      <w:pPr>
        <w:rPr>
          <w:color w:val="FF0000"/>
          <w:szCs w:val="22"/>
        </w:rPr>
      </w:pPr>
      <w:r w:rsidRPr="001D76F6">
        <w:rPr>
          <w:szCs w:val="22"/>
        </w:rPr>
        <w:t>Dem Wegfall des KW-Vermerks der o.</w:t>
      </w:r>
      <w:r w:rsidR="00373014">
        <w:rPr>
          <w:szCs w:val="22"/>
        </w:rPr>
        <w:t xml:space="preserve"> </w:t>
      </w:r>
      <w:r w:rsidRPr="001D76F6">
        <w:rPr>
          <w:szCs w:val="22"/>
        </w:rPr>
        <w:t>g. Stelle wird</w:t>
      </w:r>
      <w:r w:rsidR="00AE5732">
        <w:rPr>
          <w:szCs w:val="22"/>
        </w:rPr>
        <w:t xml:space="preserve"> daher</w:t>
      </w:r>
      <w:r w:rsidRPr="001D76F6">
        <w:rPr>
          <w:szCs w:val="22"/>
        </w:rPr>
        <w:t xml:space="preserve"> zugestimmt.</w:t>
      </w:r>
    </w:p>
    <w:p w14:paraId="47677660" w14:textId="77777777" w:rsidR="00FC5D2E" w:rsidRDefault="00FC5D2E" w:rsidP="00694161"/>
    <w:sectPr w:rsidR="00FC5D2E" w:rsidSect="00165C0D">
      <w:headerReference w:type="default" r:id="rId9"/>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22818" w14:textId="77777777" w:rsidR="002A155F" w:rsidRDefault="002A155F">
      <w:r>
        <w:separator/>
      </w:r>
    </w:p>
  </w:endnote>
  <w:endnote w:type="continuationSeparator" w:id="0">
    <w:p w14:paraId="2138CF2F" w14:textId="77777777" w:rsidR="002A155F" w:rsidRDefault="002A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DB04A" w14:textId="77777777" w:rsidR="002A155F" w:rsidRDefault="002A155F">
      <w:r>
        <w:separator/>
      </w:r>
    </w:p>
  </w:footnote>
  <w:footnote w:type="continuationSeparator" w:id="0">
    <w:p w14:paraId="24D19C36" w14:textId="77777777" w:rsidR="002A155F" w:rsidRDefault="002A1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B7E0" w14:textId="37107CD7"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0F4A5C">
      <w:rPr>
        <w:rStyle w:val="Seitenzahl"/>
        <w:noProof/>
      </w:rPr>
      <w:t>2</w:t>
    </w:r>
    <w:r w:rsidR="00AF120D">
      <w:rPr>
        <w:rStyle w:val="Seitenzahl"/>
      </w:rPr>
      <w:fldChar w:fldCharType="end"/>
    </w:r>
    <w:r>
      <w:rPr>
        <w:rStyle w:val="Seitenzahl"/>
      </w:rPr>
      <w:t xml:space="preserve"> -</w:t>
    </w:r>
  </w:p>
  <w:p w14:paraId="7217F2CD" w14:textId="77777777"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5F"/>
    <w:rsid w:val="000A1146"/>
    <w:rsid w:val="000F4A5C"/>
    <w:rsid w:val="000F772D"/>
    <w:rsid w:val="001058DD"/>
    <w:rsid w:val="00165C0D"/>
    <w:rsid w:val="00181857"/>
    <w:rsid w:val="001B1816"/>
    <w:rsid w:val="001F5D9F"/>
    <w:rsid w:val="002058C2"/>
    <w:rsid w:val="00213C7A"/>
    <w:rsid w:val="002216EF"/>
    <w:rsid w:val="00235ED9"/>
    <w:rsid w:val="002812E4"/>
    <w:rsid w:val="002924CB"/>
    <w:rsid w:val="002A155F"/>
    <w:rsid w:val="002A44B8"/>
    <w:rsid w:val="002A664A"/>
    <w:rsid w:val="002B6783"/>
    <w:rsid w:val="002C2BCF"/>
    <w:rsid w:val="002D414C"/>
    <w:rsid w:val="003237BB"/>
    <w:rsid w:val="00361333"/>
    <w:rsid w:val="00373014"/>
    <w:rsid w:val="003A7A41"/>
    <w:rsid w:val="003D5196"/>
    <w:rsid w:val="003D7B0B"/>
    <w:rsid w:val="003F20FE"/>
    <w:rsid w:val="00402C06"/>
    <w:rsid w:val="00406723"/>
    <w:rsid w:val="004920E9"/>
    <w:rsid w:val="004B6796"/>
    <w:rsid w:val="004D7F89"/>
    <w:rsid w:val="005223DA"/>
    <w:rsid w:val="00537E08"/>
    <w:rsid w:val="005724E5"/>
    <w:rsid w:val="005778E9"/>
    <w:rsid w:val="00580786"/>
    <w:rsid w:val="005979A4"/>
    <w:rsid w:val="005E7511"/>
    <w:rsid w:val="005E7A74"/>
    <w:rsid w:val="0060281A"/>
    <w:rsid w:val="00694161"/>
    <w:rsid w:val="006B297B"/>
    <w:rsid w:val="006B7B06"/>
    <w:rsid w:val="006C1AC2"/>
    <w:rsid w:val="006E0575"/>
    <w:rsid w:val="00701699"/>
    <w:rsid w:val="00741551"/>
    <w:rsid w:val="00746A71"/>
    <w:rsid w:val="00767369"/>
    <w:rsid w:val="007957E2"/>
    <w:rsid w:val="00796600"/>
    <w:rsid w:val="007B5FE2"/>
    <w:rsid w:val="007C1C66"/>
    <w:rsid w:val="0083052F"/>
    <w:rsid w:val="00840569"/>
    <w:rsid w:val="00884D6C"/>
    <w:rsid w:val="00891246"/>
    <w:rsid w:val="00893E55"/>
    <w:rsid w:val="008A1899"/>
    <w:rsid w:val="0093006F"/>
    <w:rsid w:val="00984AC4"/>
    <w:rsid w:val="00995EBD"/>
    <w:rsid w:val="009B0FBE"/>
    <w:rsid w:val="00A206E5"/>
    <w:rsid w:val="00A34898"/>
    <w:rsid w:val="00A77F1E"/>
    <w:rsid w:val="00A8778F"/>
    <w:rsid w:val="00AB0D1F"/>
    <w:rsid w:val="00AD3A46"/>
    <w:rsid w:val="00AE5732"/>
    <w:rsid w:val="00AF120D"/>
    <w:rsid w:val="00B04290"/>
    <w:rsid w:val="00B238D8"/>
    <w:rsid w:val="00B80DEF"/>
    <w:rsid w:val="00BD3B69"/>
    <w:rsid w:val="00C26152"/>
    <w:rsid w:val="00C42332"/>
    <w:rsid w:val="00C448D3"/>
    <w:rsid w:val="00CC460A"/>
    <w:rsid w:val="00CD0B27"/>
    <w:rsid w:val="00CE7D5B"/>
    <w:rsid w:val="00D04BF5"/>
    <w:rsid w:val="00D15184"/>
    <w:rsid w:val="00D24277"/>
    <w:rsid w:val="00D43636"/>
    <w:rsid w:val="00D544BF"/>
    <w:rsid w:val="00D60BEF"/>
    <w:rsid w:val="00DA24CD"/>
    <w:rsid w:val="00DA701E"/>
    <w:rsid w:val="00DB315E"/>
    <w:rsid w:val="00DB4728"/>
    <w:rsid w:val="00DE32BA"/>
    <w:rsid w:val="00DF268B"/>
    <w:rsid w:val="00DF3470"/>
    <w:rsid w:val="00E1162F"/>
    <w:rsid w:val="00E11D5F"/>
    <w:rsid w:val="00E24307"/>
    <w:rsid w:val="00E248AF"/>
    <w:rsid w:val="00E27F93"/>
    <w:rsid w:val="00E37194"/>
    <w:rsid w:val="00E8660F"/>
    <w:rsid w:val="00E86C9B"/>
    <w:rsid w:val="00E917F3"/>
    <w:rsid w:val="00EB1FB5"/>
    <w:rsid w:val="00F00C79"/>
    <w:rsid w:val="00F058E7"/>
    <w:rsid w:val="00F132FA"/>
    <w:rsid w:val="00F205CA"/>
    <w:rsid w:val="00F27657"/>
    <w:rsid w:val="00F27BB8"/>
    <w:rsid w:val="00F96AC8"/>
    <w:rsid w:val="00FB7258"/>
    <w:rsid w:val="00FC5D2E"/>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8C60"/>
  <w15:docId w15:val="{0094E9DF-1069-4109-8CC7-CDFDDB7F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character" w:styleId="Seitenzahl">
    <w:name w:val="page number"/>
    <w:basedOn w:val="Absatz-Standardschriftart"/>
    <w:rsid w:val="00165C0D"/>
    <w:rPr>
      <w:rFonts w:ascii="Arial" w:hAnsi="Arial"/>
      <w:sz w:val="24"/>
    </w:rPr>
  </w:style>
  <w:style w:type="character" w:styleId="Kommentarzeichen">
    <w:name w:val="annotation reference"/>
    <w:basedOn w:val="Absatz-Standardschriftart"/>
    <w:semiHidden/>
    <w:unhideWhenUsed/>
    <w:rsid w:val="002216EF"/>
    <w:rPr>
      <w:sz w:val="16"/>
      <w:szCs w:val="16"/>
    </w:rPr>
  </w:style>
  <w:style w:type="paragraph" w:styleId="Kommentartext">
    <w:name w:val="annotation text"/>
    <w:basedOn w:val="Standard"/>
    <w:link w:val="KommentartextZchn"/>
    <w:semiHidden/>
    <w:unhideWhenUsed/>
    <w:rsid w:val="002216EF"/>
    <w:rPr>
      <w:sz w:val="20"/>
      <w:szCs w:val="20"/>
    </w:rPr>
  </w:style>
  <w:style w:type="character" w:customStyle="1" w:styleId="KommentartextZchn">
    <w:name w:val="Kommentartext Zchn"/>
    <w:basedOn w:val="Absatz-Standardschriftart"/>
    <w:link w:val="Kommentartext"/>
    <w:semiHidden/>
    <w:rsid w:val="002216EF"/>
    <w:rPr>
      <w:sz w:val="20"/>
      <w:szCs w:val="20"/>
    </w:rPr>
  </w:style>
  <w:style w:type="paragraph" w:styleId="Kommentarthema">
    <w:name w:val="annotation subject"/>
    <w:basedOn w:val="Kommentartext"/>
    <w:next w:val="Kommentartext"/>
    <w:link w:val="KommentarthemaZchn"/>
    <w:semiHidden/>
    <w:unhideWhenUsed/>
    <w:rsid w:val="002216EF"/>
    <w:rPr>
      <w:b/>
      <w:bCs/>
    </w:rPr>
  </w:style>
  <w:style w:type="character" w:customStyle="1" w:styleId="KommentarthemaZchn">
    <w:name w:val="Kommentarthema Zchn"/>
    <w:basedOn w:val="KommentartextZchn"/>
    <w:link w:val="Kommentarthema"/>
    <w:semiHidden/>
    <w:rsid w:val="002216EF"/>
    <w:rPr>
      <w:b/>
      <w:bCs/>
      <w:sz w:val="20"/>
      <w:szCs w:val="20"/>
    </w:rPr>
  </w:style>
  <w:style w:type="paragraph" w:styleId="Sprechblasentext">
    <w:name w:val="Balloon Text"/>
    <w:basedOn w:val="Standard"/>
    <w:link w:val="SprechblasentextZchn"/>
    <w:semiHidden/>
    <w:unhideWhenUsed/>
    <w:rsid w:val="002216EF"/>
    <w:rPr>
      <w:rFonts w:ascii="Segoe UI" w:hAnsi="Segoe UI" w:cs="Segoe UI"/>
      <w:sz w:val="18"/>
      <w:szCs w:val="18"/>
    </w:rPr>
  </w:style>
  <w:style w:type="character" w:customStyle="1" w:styleId="SprechblasentextZchn">
    <w:name w:val="Sprechblasentext Zchn"/>
    <w:basedOn w:val="Absatz-Standardschriftart"/>
    <w:link w:val="Sprechblasentext"/>
    <w:semiHidden/>
    <w:rsid w:val="0022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6418">
      <w:bodyDiv w:val="1"/>
      <w:marLeft w:val="0"/>
      <w:marRight w:val="0"/>
      <w:marTop w:val="0"/>
      <w:marBottom w:val="0"/>
      <w:divBdr>
        <w:top w:val="none" w:sz="0" w:space="0" w:color="auto"/>
        <w:left w:val="none" w:sz="0" w:space="0" w:color="auto"/>
        <w:bottom w:val="none" w:sz="0" w:space="0" w:color="auto"/>
        <w:right w:val="none" w:sz="0" w:space="0" w:color="auto"/>
      </w:divBdr>
    </w:div>
    <w:div w:id="3363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057\AppData\Local\Temp\notes65C8FE\l112_muster-wegfall-stell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61A7-C257-4281-AC23-5B0730FD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l112_muster-wegfall-stellenvermerk.dotx</Template>
  <TotalTime>0</TotalTime>
  <Pages>2</Pages>
  <Words>379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Kopf, Thomas</dc:creator>
  <dc:description/>
  <cp:lastModifiedBy>Baumann, Gerhard</cp:lastModifiedBy>
  <cp:revision>9</cp:revision>
  <cp:lastPrinted>2023-10-06T08:34:00Z</cp:lastPrinted>
  <dcterms:created xsi:type="dcterms:W3CDTF">2023-08-25T15:07:00Z</dcterms:created>
  <dcterms:modified xsi:type="dcterms:W3CDTF">2023-10-06T08:34:00Z</dcterms:modified>
</cp:coreProperties>
</file>