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604EEE">
        <w:rPr>
          <w:szCs w:val="24"/>
        </w:rPr>
        <w:t>9</w:t>
      </w:r>
      <w:r w:rsidRPr="006E0575">
        <w:rPr>
          <w:szCs w:val="24"/>
        </w:rPr>
        <w:t xml:space="preserve"> zur </w:t>
      </w:r>
      <w:proofErr w:type="spellStart"/>
      <w:r w:rsidRPr="006E0575">
        <w:rPr>
          <w:szCs w:val="24"/>
        </w:rPr>
        <w:t>GRDrs</w:t>
      </w:r>
      <w:proofErr w:type="spellEnd"/>
      <w:r w:rsidRPr="006E0575">
        <w:rPr>
          <w:szCs w:val="24"/>
        </w:rPr>
        <w:t xml:space="preserve"> </w:t>
      </w:r>
      <w:r w:rsidR="00604EEE">
        <w:rPr>
          <w:szCs w:val="24"/>
        </w:rPr>
        <w:t>885</w:t>
      </w:r>
      <w:r w:rsidR="00891246">
        <w:rPr>
          <w:szCs w:val="24"/>
        </w:rPr>
        <w:t>/201</w:t>
      </w:r>
      <w:r w:rsidR="00711461">
        <w:rPr>
          <w:szCs w:val="24"/>
        </w:rPr>
        <w:t>9</w:t>
      </w:r>
    </w:p>
    <w:p w:rsidR="003D7B0B" w:rsidRPr="006E0575" w:rsidRDefault="003D7B0B" w:rsidP="006E0575"/>
    <w:p w:rsidR="003D7B0B" w:rsidRPr="006E0575" w:rsidRDefault="003D7B0B" w:rsidP="006E0575"/>
    <w:p w:rsidR="00711461" w:rsidRDefault="00960375" w:rsidP="00711461">
      <w:pPr>
        <w:tabs>
          <w:tab w:val="left" w:pos="6521"/>
        </w:tabs>
        <w:jc w:val="center"/>
        <w:rPr>
          <w:b/>
          <w:sz w:val="36"/>
          <w:u w:val="single"/>
        </w:rPr>
      </w:pPr>
      <w:r>
        <w:rPr>
          <w:b/>
          <w:sz w:val="36"/>
          <w:u w:val="single"/>
        </w:rPr>
        <w:t>Stellenschaffun</w:t>
      </w:r>
      <w:r w:rsidRPr="00184EDC">
        <w:rPr>
          <w:b/>
          <w:sz w:val="36"/>
          <w:u w:val="single"/>
        </w:rPr>
        <w:t>g</w:t>
      </w:r>
      <w:r w:rsidR="00711461">
        <w:rPr>
          <w:b/>
          <w:sz w:val="36"/>
          <w:u w:val="single"/>
        </w:rPr>
        <w:t xml:space="preserve"> </w:t>
      </w:r>
    </w:p>
    <w:p w:rsidR="00711461" w:rsidRDefault="00711461" w:rsidP="00711461">
      <w:pPr>
        <w:tabs>
          <w:tab w:val="left" w:pos="6521"/>
        </w:tabs>
        <w:jc w:val="center"/>
        <w:rPr>
          <w:b/>
          <w:sz w:val="36"/>
          <w:u w:val="single"/>
        </w:rPr>
      </w:pPr>
      <w:r>
        <w:rPr>
          <w:b/>
          <w:sz w:val="36"/>
          <w:u w:val="single"/>
        </w:rPr>
        <w:t>zum Stellenplan 2020</w:t>
      </w:r>
    </w:p>
    <w:p w:rsidR="003D7B0B" w:rsidRDefault="003D7B0B" w:rsidP="006E0575"/>
    <w:p w:rsidR="003D7B0B" w:rsidRDefault="003D7B0B" w:rsidP="006E0575"/>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583"/>
        <w:gridCol w:w="912"/>
        <w:gridCol w:w="1928"/>
        <w:gridCol w:w="704"/>
        <w:gridCol w:w="1276"/>
        <w:gridCol w:w="1308"/>
      </w:tblGrid>
      <w:tr w:rsidR="00D07C2D" w:rsidRPr="006E0575" w:rsidTr="00D07C2D">
        <w:trPr>
          <w:tblHeader/>
        </w:trPr>
        <w:tc>
          <w:tcPr>
            <w:tcW w:w="1814" w:type="dxa"/>
            <w:shd w:val="pct12" w:color="auto" w:fill="FFFFFF"/>
          </w:tcPr>
          <w:p w:rsidR="00D07C2D" w:rsidRDefault="00D07C2D" w:rsidP="00D07C2D">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Pr>
                <w:sz w:val="16"/>
                <w:szCs w:val="16"/>
              </w:rPr>
              <w:t>,</w:t>
            </w:r>
          </w:p>
          <w:p w:rsidR="00D07C2D" w:rsidRPr="006E0575" w:rsidRDefault="00D07C2D" w:rsidP="00D07C2D">
            <w:pPr>
              <w:spacing w:before="120" w:after="120" w:line="200" w:lineRule="exact"/>
              <w:ind w:right="-85"/>
              <w:rPr>
                <w:sz w:val="16"/>
                <w:szCs w:val="16"/>
              </w:rPr>
            </w:pPr>
            <w:r>
              <w:rPr>
                <w:sz w:val="16"/>
                <w:szCs w:val="16"/>
              </w:rPr>
              <w:t>Kostenstelle</w:t>
            </w:r>
          </w:p>
        </w:tc>
        <w:tc>
          <w:tcPr>
            <w:tcW w:w="1583"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Amt</w:t>
            </w:r>
          </w:p>
        </w:tc>
        <w:tc>
          <w:tcPr>
            <w:tcW w:w="912" w:type="dxa"/>
            <w:shd w:val="pct12" w:color="auto" w:fill="FFFFFF"/>
          </w:tcPr>
          <w:p w:rsidR="00D07C2D" w:rsidRDefault="00D07C2D" w:rsidP="00D07C2D">
            <w:pPr>
              <w:spacing w:before="120" w:after="120" w:line="200" w:lineRule="exact"/>
              <w:ind w:right="-85"/>
              <w:rPr>
                <w:sz w:val="16"/>
                <w:szCs w:val="16"/>
              </w:rPr>
            </w:pPr>
            <w:proofErr w:type="spellStart"/>
            <w:r>
              <w:rPr>
                <w:sz w:val="16"/>
                <w:szCs w:val="16"/>
              </w:rPr>
              <w:t>BesGr</w:t>
            </w:r>
            <w:proofErr w:type="spellEnd"/>
            <w:r>
              <w:rPr>
                <w:sz w:val="16"/>
                <w:szCs w:val="16"/>
              </w:rPr>
              <w:t>.</w:t>
            </w:r>
          </w:p>
          <w:p w:rsidR="00D07C2D" w:rsidRDefault="00D07C2D" w:rsidP="00D07C2D">
            <w:pPr>
              <w:spacing w:before="120" w:after="120" w:line="200" w:lineRule="exact"/>
              <w:ind w:right="-85"/>
              <w:rPr>
                <w:sz w:val="16"/>
                <w:szCs w:val="16"/>
              </w:rPr>
            </w:pPr>
            <w:r>
              <w:rPr>
                <w:sz w:val="16"/>
                <w:szCs w:val="16"/>
              </w:rPr>
              <w:t>oder</w:t>
            </w:r>
          </w:p>
          <w:p w:rsidR="00D07C2D" w:rsidRPr="006E0575" w:rsidRDefault="00D07C2D" w:rsidP="00D07C2D">
            <w:pPr>
              <w:spacing w:before="120" w:after="120" w:line="200" w:lineRule="exact"/>
              <w:ind w:right="-85"/>
              <w:rPr>
                <w:sz w:val="16"/>
                <w:szCs w:val="16"/>
              </w:rPr>
            </w:pPr>
            <w:r>
              <w:rPr>
                <w:sz w:val="16"/>
                <w:szCs w:val="16"/>
              </w:rPr>
              <w:t>EG</w:t>
            </w:r>
          </w:p>
        </w:tc>
        <w:tc>
          <w:tcPr>
            <w:tcW w:w="1928"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Funktions</w:t>
            </w:r>
            <w:r>
              <w:rPr>
                <w:sz w:val="16"/>
                <w:szCs w:val="16"/>
              </w:rPr>
              <w:t>-</w:t>
            </w:r>
            <w:r>
              <w:rPr>
                <w:sz w:val="16"/>
                <w:szCs w:val="16"/>
              </w:rPr>
              <w:br/>
            </w:r>
            <w:proofErr w:type="spellStart"/>
            <w:r w:rsidRPr="006E0575">
              <w:rPr>
                <w:sz w:val="16"/>
                <w:szCs w:val="16"/>
              </w:rPr>
              <w:t>bezeichnung</w:t>
            </w:r>
            <w:proofErr w:type="spellEnd"/>
          </w:p>
        </w:tc>
        <w:tc>
          <w:tcPr>
            <w:tcW w:w="704"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276" w:type="dxa"/>
            <w:shd w:val="pct12" w:color="auto" w:fill="FFFFFF"/>
          </w:tcPr>
          <w:p w:rsidR="00D07C2D" w:rsidRPr="006E0575" w:rsidRDefault="00D07C2D" w:rsidP="00D07C2D">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308" w:type="dxa"/>
            <w:shd w:val="pct12" w:color="auto" w:fill="FFFFFF"/>
          </w:tcPr>
          <w:p w:rsidR="00D07C2D" w:rsidRPr="006E0575" w:rsidRDefault="00D07C2D" w:rsidP="00D07C2D">
            <w:pPr>
              <w:spacing w:before="120" w:after="120" w:line="200" w:lineRule="exact"/>
              <w:ind w:right="-85"/>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 xml:space="preserve">wirksamer </w:t>
            </w:r>
            <w:r>
              <w:rPr>
                <w:sz w:val="16"/>
                <w:szCs w:val="16"/>
              </w:rPr>
              <w:br/>
            </w:r>
            <w:r w:rsidRPr="006E0575">
              <w:rPr>
                <w:sz w:val="16"/>
                <w:szCs w:val="16"/>
              </w:rPr>
              <w:t>Auf</w:t>
            </w:r>
            <w:r>
              <w:rPr>
                <w:sz w:val="16"/>
                <w:szCs w:val="16"/>
              </w:rPr>
              <w:t xml:space="preserve">wand </w:t>
            </w:r>
            <w:r>
              <w:rPr>
                <w:sz w:val="16"/>
                <w:szCs w:val="16"/>
              </w:rPr>
              <w:br/>
              <w:t>in Euro</w:t>
            </w:r>
          </w:p>
        </w:tc>
      </w:tr>
      <w:tr w:rsidR="00D07C2D" w:rsidRPr="006E0575" w:rsidTr="00AE0299">
        <w:trPr>
          <w:trHeight w:val="1493"/>
        </w:trPr>
        <w:tc>
          <w:tcPr>
            <w:tcW w:w="1814" w:type="dxa"/>
          </w:tcPr>
          <w:p w:rsidR="00D07C2D" w:rsidRDefault="00D07C2D" w:rsidP="00D07C2D">
            <w:pPr>
              <w:rPr>
                <w:sz w:val="20"/>
              </w:rPr>
            </w:pPr>
          </w:p>
          <w:p w:rsidR="00D07C2D" w:rsidRDefault="00D07C2D" w:rsidP="00D07C2D">
            <w:pPr>
              <w:rPr>
                <w:sz w:val="20"/>
              </w:rPr>
            </w:pPr>
            <w:r>
              <w:rPr>
                <w:sz w:val="20"/>
              </w:rPr>
              <w:t>23-2.2</w:t>
            </w:r>
          </w:p>
          <w:p w:rsidR="00D07C2D" w:rsidRPr="006E0575" w:rsidRDefault="00D07C2D" w:rsidP="00604EEE">
            <w:pPr>
              <w:rPr>
                <w:sz w:val="20"/>
              </w:rPr>
            </w:pPr>
            <w:r>
              <w:rPr>
                <w:sz w:val="20"/>
              </w:rPr>
              <w:t>23205020</w:t>
            </w:r>
          </w:p>
        </w:tc>
        <w:tc>
          <w:tcPr>
            <w:tcW w:w="1583" w:type="dxa"/>
          </w:tcPr>
          <w:p w:rsidR="00D07C2D" w:rsidRDefault="00D07C2D" w:rsidP="00D07C2D">
            <w:pPr>
              <w:rPr>
                <w:sz w:val="20"/>
              </w:rPr>
            </w:pPr>
          </w:p>
          <w:p w:rsidR="00D07C2D" w:rsidRPr="006E0575" w:rsidRDefault="00D07C2D" w:rsidP="00D07C2D">
            <w:pPr>
              <w:rPr>
                <w:sz w:val="20"/>
              </w:rPr>
            </w:pPr>
            <w:r>
              <w:rPr>
                <w:sz w:val="20"/>
              </w:rPr>
              <w:t xml:space="preserve">Liegenschaftsamt </w:t>
            </w:r>
          </w:p>
        </w:tc>
        <w:tc>
          <w:tcPr>
            <w:tcW w:w="912" w:type="dxa"/>
          </w:tcPr>
          <w:p w:rsidR="00D07C2D" w:rsidRDefault="00D07C2D" w:rsidP="00D07C2D">
            <w:pPr>
              <w:rPr>
                <w:sz w:val="20"/>
              </w:rPr>
            </w:pPr>
          </w:p>
          <w:p w:rsidR="00D07C2D" w:rsidRPr="006E0575" w:rsidRDefault="00D07C2D" w:rsidP="00604EEE">
            <w:pPr>
              <w:rPr>
                <w:sz w:val="20"/>
              </w:rPr>
            </w:pPr>
            <w:r>
              <w:rPr>
                <w:sz w:val="20"/>
              </w:rPr>
              <w:t>EG 11</w:t>
            </w:r>
          </w:p>
        </w:tc>
        <w:tc>
          <w:tcPr>
            <w:tcW w:w="1928" w:type="dxa"/>
          </w:tcPr>
          <w:p w:rsidR="00D07C2D" w:rsidRDefault="00D07C2D" w:rsidP="00D07C2D">
            <w:pPr>
              <w:rPr>
                <w:sz w:val="20"/>
              </w:rPr>
            </w:pPr>
          </w:p>
          <w:p w:rsidR="00D07C2D" w:rsidRPr="006E0575" w:rsidRDefault="00D07C2D" w:rsidP="00604EEE">
            <w:pPr>
              <w:rPr>
                <w:sz w:val="20"/>
              </w:rPr>
            </w:pPr>
            <w:r>
              <w:rPr>
                <w:sz w:val="20"/>
              </w:rPr>
              <w:t>S</w:t>
            </w:r>
            <w:r w:rsidRPr="005E0077">
              <w:rPr>
                <w:sz w:val="20"/>
              </w:rPr>
              <w:t>achbearbeiter</w:t>
            </w:r>
            <w:r>
              <w:rPr>
                <w:sz w:val="20"/>
              </w:rPr>
              <w:t xml:space="preserve"> (</w:t>
            </w:r>
            <w:proofErr w:type="spellStart"/>
            <w:r>
              <w:rPr>
                <w:sz w:val="20"/>
              </w:rPr>
              <w:t>w,m,d</w:t>
            </w:r>
            <w:proofErr w:type="spellEnd"/>
            <w:r>
              <w:rPr>
                <w:sz w:val="20"/>
              </w:rPr>
              <w:t>) im Grundstücksverkehr</w:t>
            </w:r>
          </w:p>
        </w:tc>
        <w:tc>
          <w:tcPr>
            <w:tcW w:w="704" w:type="dxa"/>
            <w:shd w:val="clear" w:color="auto" w:fill="auto"/>
          </w:tcPr>
          <w:p w:rsidR="00D07C2D" w:rsidRDefault="00D07C2D" w:rsidP="00D07C2D">
            <w:pPr>
              <w:jc w:val="center"/>
              <w:rPr>
                <w:sz w:val="20"/>
              </w:rPr>
            </w:pPr>
          </w:p>
          <w:p w:rsidR="00D07C2D" w:rsidRPr="006E0575" w:rsidRDefault="00D07C2D" w:rsidP="00604EEE">
            <w:pPr>
              <w:jc w:val="center"/>
              <w:rPr>
                <w:sz w:val="20"/>
              </w:rPr>
            </w:pPr>
            <w:r>
              <w:rPr>
                <w:sz w:val="20"/>
              </w:rPr>
              <w:t>2,0</w:t>
            </w:r>
          </w:p>
        </w:tc>
        <w:tc>
          <w:tcPr>
            <w:tcW w:w="1276" w:type="dxa"/>
            <w:shd w:val="clear" w:color="auto" w:fill="auto"/>
          </w:tcPr>
          <w:p w:rsidR="00D07C2D" w:rsidRDefault="00D07C2D" w:rsidP="00D07C2D">
            <w:pPr>
              <w:rPr>
                <w:sz w:val="20"/>
              </w:rPr>
            </w:pPr>
          </w:p>
          <w:p w:rsidR="00D07C2D" w:rsidRPr="006E0575" w:rsidRDefault="00604EEE" w:rsidP="00604EEE">
            <w:pPr>
              <w:rPr>
                <w:sz w:val="20"/>
              </w:rPr>
            </w:pPr>
            <w:r>
              <w:rPr>
                <w:sz w:val="20"/>
              </w:rPr>
              <w:t>KW</w:t>
            </w:r>
            <w:r w:rsidR="00D07C2D">
              <w:rPr>
                <w:sz w:val="20"/>
              </w:rPr>
              <w:t xml:space="preserve"> 01/2026</w:t>
            </w:r>
            <w:r w:rsidR="00D07C2D">
              <w:rPr>
                <w:sz w:val="20"/>
              </w:rPr>
              <w:br/>
              <w:t>S 21</w:t>
            </w:r>
          </w:p>
        </w:tc>
        <w:tc>
          <w:tcPr>
            <w:tcW w:w="1308" w:type="dxa"/>
          </w:tcPr>
          <w:p w:rsidR="00D07C2D" w:rsidRPr="006E0575" w:rsidRDefault="00D07C2D" w:rsidP="00D07C2D">
            <w:pPr>
              <w:jc w:val="center"/>
              <w:rPr>
                <w:sz w:val="20"/>
              </w:rPr>
            </w:pPr>
            <w:r>
              <w:rPr>
                <w:sz w:val="20"/>
              </w:rPr>
              <w:t xml:space="preserve"> </w:t>
            </w:r>
          </w:p>
          <w:p w:rsidR="00D07C2D" w:rsidRPr="006E0575" w:rsidRDefault="00604EEE" w:rsidP="00604EEE">
            <w:pPr>
              <w:jc w:val="right"/>
              <w:rPr>
                <w:sz w:val="20"/>
              </w:rPr>
            </w:pPr>
            <w:r>
              <w:rPr>
                <w:sz w:val="20"/>
              </w:rPr>
              <w:t>153.800</w:t>
            </w:r>
          </w:p>
        </w:tc>
      </w:tr>
      <w:tr w:rsidR="00604EEE" w:rsidRPr="006E0575" w:rsidTr="00AE0299">
        <w:trPr>
          <w:trHeight w:val="1493"/>
        </w:trPr>
        <w:tc>
          <w:tcPr>
            <w:tcW w:w="1814" w:type="dxa"/>
          </w:tcPr>
          <w:p w:rsidR="00604EEE" w:rsidRDefault="00604EEE" w:rsidP="00604EEE">
            <w:pPr>
              <w:rPr>
                <w:sz w:val="20"/>
              </w:rPr>
            </w:pPr>
          </w:p>
          <w:p w:rsidR="00604EEE" w:rsidRDefault="00604EEE" w:rsidP="00604EEE">
            <w:pPr>
              <w:rPr>
                <w:sz w:val="20"/>
              </w:rPr>
            </w:pPr>
            <w:r>
              <w:rPr>
                <w:sz w:val="20"/>
              </w:rPr>
              <w:t>23-2</w:t>
            </w:r>
          </w:p>
          <w:p w:rsidR="00604EEE" w:rsidRDefault="00604EEE" w:rsidP="00604EEE">
            <w:pPr>
              <w:rPr>
                <w:sz w:val="20"/>
              </w:rPr>
            </w:pPr>
            <w:r>
              <w:rPr>
                <w:sz w:val="20"/>
              </w:rPr>
              <w:t>23201100</w:t>
            </w:r>
          </w:p>
        </w:tc>
        <w:tc>
          <w:tcPr>
            <w:tcW w:w="1583" w:type="dxa"/>
          </w:tcPr>
          <w:p w:rsidR="00604EEE" w:rsidRDefault="00604EEE" w:rsidP="00604EEE">
            <w:pPr>
              <w:rPr>
                <w:sz w:val="20"/>
              </w:rPr>
            </w:pPr>
          </w:p>
          <w:p w:rsidR="00604EEE" w:rsidRDefault="00604EEE" w:rsidP="00604EEE">
            <w:pPr>
              <w:rPr>
                <w:sz w:val="20"/>
              </w:rPr>
            </w:pPr>
            <w:r>
              <w:rPr>
                <w:sz w:val="20"/>
              </w:rPr>
              <w:t>Liegenschaftsamt</w:t>
            </w:r>
          </w:p>
        </w:tc>
        <w:tc>
          <w:tcPr>
            <w:tcW w:w="912" w:type="dxa"/>
          </w:tcPr>
          <w:p w:rsidR="00604EEE" w:rsidRDefault="00604EEE" w:rsidP="00D07C2D">
            <w:pPr>
              <w:rPr>
                <w:sz w:val="20"/>
              </w:rPr>
            </w:pPr>
          </w:p>
          <w:p w:rsidR="00604EEE" w:rsidRDefault="00604EEE" w:rsidP="00D07C2D">
            <w:pPr>
              <w:rPr>
                <w:sz w:val="20"/>
              </w:rPr>
            </w:pPr>
            <w:r>
              <w:rPr>
                <w:sz w:val="20"/>
              </w:rPr>
              <w:t>EG 5</w:t>
            </w:r>
          </w:p>
        </w:tc>
        <w:tc>
          <w:tcPr>
            <w:tcW w:w="1928" w:type="dxa"/>
          </w:tcPr>
          <w:p w:rsidR="00604EEE" w:rsidRDefault="00604EEE" w:rsidP="00D07C2D">
            <w:pPr>
              <w:rPr>
                <w:sz w:val="20"/>
              </w:rPr>
            </w:pPr>
          </w:p>
          <w:p w:rsidR="00604EEE" w:rsidRDefault="00604EEE" w:rsidP="00D07C2D">
            <w:pPr>
              <w:rPr>
                <w:sz w:val="20"/>
              </w:rPr>
            </w:pPr>
            <w:r>
              <w:rPr>
                <w:sz w:val="20"/>
              </w:rPr>
              <w:t>Schreibdienst</w:t>
            </w:r>
          </w:p>
        </w:tc>
        <w:tc>
          <w:tcPr>
            <w:tcW w:w="704" w:type="dxa"/>
            <w:shd w:val="clear" w:color="auto" w:fill="auto"/>
          </w:tcPr>
          <w:p w:rsidR="00604EEE" w:rsidRDefault="00604EEE" w:rsidP="00D07C2D">
            <w:pPr>
              <w:jc w:val="center"/>
              <w:rPr>
                <w:sz w:val="20"/>
              </w:rPr>
            </w:pPr>
          </w:p>
          <w:p w:rsidR="00604EEE" w:rsidRDefault="00604EEE" w:rsidP="00D07C2D">
            <w:pPr>
              <w:jc w:val="center"/>
              <w:rPr>
                <w:sz w:val="20"/>
              </w:rPr>
            </w:pPr>
            <w:r>
              <w:rPr>
                <w:sz w:val="20"/>
              </w:rPr>
              <w:t>0,10</w:t>
            </w:r>
          </w:p>
        </w:tc>
        <w:tc>
          <w:tcPr>
            <w:tcW w:w="1276" w:type="dxa"/>
            <w:shd w:val="clear" w:color="auto" w:fill="auto"/>
          </w:tcPr>
          <w:p w:rsidR="00604EEE" w:rsidRDefault="00604EEE" w:rsidP="00604EEE">
            <w:pPr>
              <w:rPr>
                <w:sz w:val="20"/>
              </w:rPr>
            </w:pPr>
          </w:p>
          <w:p w:rsidR="00604EEE" w:rsidRDefault="00604EEE" w:rsidP="00604EEE">
            <w:pPr>
              <w:rPr>
                <w:sz w:val="20"/>
              </w:rPr>
            </w:pPr>
            <w:r>
              <w:rPr>
                <w:sz w:val="20"/>
              </w:rPr>
              <w:t>KW 01/2026</w:t>
            </w:r>
          </w:p>
          <w:p w:rsidR="00604EEE" w:rsidRDefault="00604EEE" w:rsidP="00604EEE">
            <w:pPr>
              <w:rPr>
                <w:sz w:val="20"/>
              </w:rPr>
            </w:pPr>
            <w:r>
              <w:rPr>
                <w:sz w:val="20"/>
              </w:rPr>
              <w:t>S 21</w:t>
            </w:r>
          </w:p>
        </w:tc>
        <w:tc>
          <w:tcPr>
            <w:tcW w:w="1308" w:type="dxa"/>
          </w:tcPr>
          <w:p w:rsidR="00604EEE" w:rsidRDefault="00604EEE" w:rsidP="00D07C2D">
            <w:pPr>
              <w:jc w:val="center"/>
              <w:rPr>
                <w:sz w:val="20"/>
              </w:rPr>
            </w:pPr>
          </w:p>
          <w:p w:rsidR="00604EEE" w:rsidRDefault="00604EEE" w:rsidP="00604EEE">
            <w:pPr>
              <w:jc w:val="right"/>
              <w:rPr>
                <w:sz w:val="20"/>
              </w:rPr>
            </w:pPr>
            <w:r>
              <w:rPr>
                <w:sz w:val="20"/>
              </w:rPr>
              <w:t>4.590</w:t>
            </w:r>
          </w:p>
        </w:tc>
      </w:tr>
      <w:tr w:rsidR="00604EEE" w:rsidRPr="00604EEE" w:rsidTr="00604EEE">
        <w:trPr>
          <w:trHeight w:val="317"/>
        </w:trPr>
        <w:tc>
          <w:tcPr>
            <w:tcW w:w="1814" w:type="dxa"/>
          </w:tcPr>
          <w:p w:rsidR="00604EEE" w:rsidRPr="00604EEE" w:rsidRDefault="00604EEE" w:rsidP="00604EEE">
            <w:pPr>
              <w:rPr>
                <w:b/>
                <w:sz w:val="20"/>
              </w:rPr>
            </w:pPr>
          </w:p>
        </w:tc>
        <w:tc>
          <w:tcPr>
            <w:tcW w:w="1583" w:type="dxa"/>
          </w:tcPr>
          <w:p w:rsidR="00604EEE" w:rsidRPr="00604EEE" w:rsidRDefault="00604EEE" w:rsidP="00604EEE">
            <w:pPr>
              <w:rPr>
                <w:b/>
                <w:sz w:val="20"/>
              </w:rPr>
            </w:pPr>
          </w:p>
        </w:tc>
        <w:tc>
          <w:tcPr>
            <w:tcW w:w="912" w:type="dxa"/>
          </w:tcPr>
          <w:p w:rsidR="00604EEE" w:rsidRPr="00604EEE" w:rsidRDefault="00604EEE" w:rsidP="00D07C2D">
            <w:pPr>
              <w:rPr>
                <w:b/>
                <w:sz w:val="20"/>
              </w:rPr>
            </w:pPr>
          </w:p>
        </w:tc>
        <w:tc>
          <w:tcPr>
            <w:tcW w:w="1928" w:type="dxa"/>
          </w:tcPr>
          <w:p w:rsidR="00604EEE" w:rsidRPr="00604EEE" w:rsidRDefault="00604EEE" w:rsidP="00D07C2D">
            <w:pPr>
              <w:rPr>
                <w:b/>
                <w:sz w:val="20"/>
              </w:rPr>
            </w:pPr>
            <w:r>
              <w:rPr>
                <w:b/>
                <w:sz w:val="20"/>
              </w:rPr>
              <w:t>Summe</w:t>
            </w:r>
          </w:p>
        </w:tc>
        <w:tc>
          <w:tcPr>
            <w:tcW w:w="704" w:type="dxa"/>
            <w:shd w:val="clear" w:color="auto" w:fill="auto"/>
          </w:tcPr>
          <w:p w:rsidR="00604EEE" w:rsidRPr="00604EEE" w:rsidRDefault="00604EEE" w:rsidP="00D07C2D">
            <w:pPr>
              <w:jc w:val="center"/>
              <w:rPr>
                <w:b/>
                <w:sz w:val="20"/>
              </w:rPr>
            </w:pPr>
            <w:r>
              <w:rPr>
                <w:b/>
                <w:sz w:val="20"/>
              </w:rPr>
              <w:t>2,10</w:t>
            </w:r>
          </w:p>
        </w:tc>
        <w:tc>
          <w:tcPr>
            <w:tcW w:w="1276" w:type="dxa"/>
            <w:shd w:val="clear" w:color="auto" w:fill="auto"/>
          </w:tcPr>
          <w:p w:rsidR="00604EEE" w:rsidRPr="00604EEE" w:rsidRDefault="00604EEE" w:rsidP="00604EEE">
            <w:pPr>
              <w:rPr>
                <w:b/>
                <w:sz w:val="20"/>
              </w:rPr>
            </w:pPr>
          </w:p>
        </w:tc>
        <w:tc>
          <w:tcPr>
            <w:tcW w:w="1308" w:type="dxa"/>
          </w:tcPr>
          <w:p w:rsidR="00604EEE" w:rsidRPr="00604EEE" w:rsidRDefault="00604EEE" w:rsidP="00604EEE">
            <w:pPr>
              <w:jc w:val="right"/>
              <w:rPr>
                <w:b/>
                <w:sz w:val="20"/>
              </w:rPr>
            </w:pPr>
            <w:r>
              <w:rPr>
                <w:b/>
                <w:sz w:val="20"/>
              </w:rPr>
              <w:t>158.390</w:t>
            </w:r>
          </w:p>
        </w:tc>
      </w:tr>
    </w:tbl>
    <w:p w:rsidR="00694161" w:rsidRPr="00694161" w:rsidRDefault="00694161" w:rsidP="00694161"/>
    <w:p w:rsidR="00694161" w:rsidRPr="00694161" w:rsidRDefault="00694161" w:rsidP="00694161"/>
    <w:p w:rsidR="003D7B0B" w:rsidRPr="00694161" w:rsidRDefault="00627E17" w:rsidP="00694161">
      <w:pPr>
        <w:rPr>
          <w:b/>
          <w:u w:val="single"/>
        </w:rPr>
      </w:pPr>
      <w:r w:rsidRPr="00627E17">
        <w:rPr>
          <w:b/>
        </w:rPr>
        <w:t xml:space="preserve">1. </w:t>
      </w:r>
      <w:r>
        <w:rPr>
          <w:b/>
          <w:u w:val="single"/>
        </w:rPr>
        <w:t>Antrag, Stellenausstattung</w:t>
      </w:r>
    </w:p>
    <w:p w:rsidR="003D7B0B" w:rsidRDefault="003D7B0B" w:rsidP="00694161"/>
    <w:p w:rsidR="00FD2EF1" w:rsidRDefault="00A672DC" w:rsidP="00694161">
      <w:r>
        <w:t xml:space="preserve">Beantragt wird die Schaffung zweier Stellen in Entgeltgruppe 11 </w:t>
      </w:r>
      <w:r w:rsidR="00D07C2D">
        <w:t xml:space="preserve">TVöD </w:t>
      </w:r>
      <w:r>
        <w:t>für zwei Sach</w:t>
      </w:r>
      <w:r w:rsidR="00FD2EF1">
        <w:t>-</w:t>
      </w:r>
    </w:p>
    <w:p w:rsidR="00627E17" w:rsidRDefault="00A672DC" w:rsidP="00694161">
      <w:proofErr w:type="spellStart"/>
      <w:r>
        <w:t>bearbeiter</w:t>
      </w:r>
      <w:proofErr w:type="spellEnd"/>
      <w:r w:rsidR="00084252">
        <w:t xml:space="preserve"> (w, m, d) </w:t>
      </w:r>
      <w:r>
        <w:rPr>
          <w:rFonts w:cs="Arial"/>
          <w:szCs w:val="24"/>
        </w:rPr>
        <w:t>im Grundstücksverkehr befristet bis 31.12.2025 für die grund</w:t>
      </w:r>
      <w:r w:rsidR="00FD2EF1">
        <w:rPr>
          <w:rFonts w:cs="Arial"/>
          <w:szCs w:val="24"/>
        </w:rPr>
        <w:t>-</w:t>
      </w:r>
      <w:r w:rsidR="00FD2EF1">
        <w:rPr>
          <w:rFonts w:cs="Arial"/>
          <w:szCs w:val="24"/>
        </w:rPr>
        <w:br/>
      </w:r>
      <w:proofErr w:type="spellStart"/>
      <w:r>
        <w:rPr>
          <w:rFonts w:cs="Arial"/>
          <w:szCs w:val="24"/>
        </w:rPr>
        <w:t>stücksrechtliche</w:t>
      </w:r>
      <w:proofErr w:type="spellEnd"/>
      <w:r>
        <w:rPr>
          <w:rFonts w:cs="Arial"/>
          <w:szCs w:val="24"/>
        </w:rPr>
        <w:t xml:space="preserve"> Betreuung des Vollzugs des Bahnprojekts Stuttgart-Ulm (Stuttgart 21)</w:t>
      </w:r>
      <w:r w:rsidR="00D07C2D">
        <w:rPr>
          <w:rFonts w:cs="Arial"/>
          <w:szCs w:val="24"/>
        </w:rPr>
        <w:t xml:space="preserve"> sowie ein Stellenanteil von 0,1</w:t>
      </w:r>
      <w:r w:rsidR="007731D5">
        <w:rPr>
          <w:rFonts w:cs="Arial"/>
          <w:szCs w:val="24"/>
        </w:rPr>
        <w:t>0</w:t>
      </w:r>
      <w:r w:rsidR="007D3B6F">
        <w:rPr>
          <w:rFonts w:cs="Arial"/>
          <w:szCs w:val="24"/>
        </w:rPr>
        <w:t xml:space="preserve"> für die anfallenden Schreib- und Bürotätigkeiten in </w:t>
      </w:r>
      <w:r w:rsidR="00FD2EF1">
        <w:rPr>
          <w:rFonts w:cs="Arial"/>
          <w:szCs w:val="24"/>
        </w:rPr>
        <w:br/>
      </w:r>
      <w:r w:rsidR="00D07C2D">
        <w:rPr>
          <w:rFonts w:cs="Arial"/>
          <w:szCs w:val="24"/>
        </w:rPr>
        <w:t>Entgeltgruppe 5 TVöD</w:t>
      </w:r>
      <w:r>
        <w:rPr>
          <w:rFonts w:cs="Arial"/>
          <w:szCs w:val="24"/>
        </w:rPr>
        <w:t>.</w:t>
      </w:r>
    </w:p>
    <w:p w:rsidR="00627E17" w:rsidRDefault="00627E17" w:rsidP="00694161"/>
    <w:p w:rsidR="00627E17" w:rsidRPr="00A672DC" w:rsidRDefault="00627E17" w:rsidP="00627E17">
      <w:pPr>
        <w:rPr>
          <w:b/>
          <w:u w:val="single"/>
        </w:rPr>
      </w:pPr>
      <w:r w:rsidRPr="00A672DC">
        <w:rPr>
          <w:b/>
        </w:rPr>
        <w:t xml:space="preserve">2. </w:t>
      </w:r>
      <w:r w:rsidR="00413ABB" w:rsidRPr="00A672DC">
        <w:rPr>
          <w:b/>
          <w:u w:val="single"/>
        </w:rPr>
        <w:t>Schaffungskriterien</w:t>
      </w:r>
    </w:p>
    <w:p w:rsidR="00627E17" w:rsidRPr="00A672DC" w:rsidRDefault="00627E17" w:rsidP="00694161"/>
    <w:p w:rsidR="00A60B65" w:rsidRPr="00A672DC" w:rsidRDefault="00FD2EF1" w:rsidP="00A60B65">
      <w:r>
        <w:t xml:space="preserve">Die Aufgabe stellt sich neu und bedeutet eine </w:t>
      </w:r>
      <w:r w:rsidR="00A672DC" w:rsidRPr="00A672DC">
        <w:t xml:space="preserve">erhebliche Aufgabenvermehrung, die </w:t>
      </w:r>
      <w:r>
        <w:br/>
        <w:t xml:space="preserve">weder mit dem bestehenden Personalumfang noch </w:t>
      </w:r>
      <w:r w:rsidR="00A672DC" w:rsidRPr="00A672DC">
        <w:t>durch an</w:t>
      </w:r>
      <w:r w:rsidR="00A672DC">
        <w:t>dere Maßnahmen auf</w:t>
      </w:r>
      <w:r>
        <w:t>-</w:t>
      </w:r>
      <w:r>
        <w:br/>
      </w:r>
      <w:r w:rsidR="00A672DC">
        <w:t xml:space="preserve">gefangen </w:t>
      </w:r>
      <w:r w:rsidR="00A672DC" w:rsidRPr="00BF0312">
        <w:t xml:space="preserve">werden </w:t>
      </w:r>
      <w:r w:rsidR="00C46B28" w:rsidRPr="00BF0312">
        <w:t>k</w:t>
      </w:r>
      <w:r w:rsidR="004E72DA">
        <w:t>a</w:t>
      </w:r>
      <w:r w:rsidR="00C46B28" w:rsidRPr="00BF0312">
        <w:t>nn</w:t>
      </w:r>
      <w:bookmarkStart w:id="0" w:name="_GoBack"/>
      <w:bookmarkEnd w:id="0"/>
      <w:r w:rsidR="00BF0312" w:rsidRPr="00BF0312">
        <w:t>.</w:t>
      </w:r>
    </w:p>
    <w:p w:rsidR="00A60B65" w:rsidRPr="00A672DC" w:rsidRDefault="00413ABB" w:rsidP="00A60B65">
      <w:pPr>
        <w:pStyle w:val="berschrift2"/>
        <w:rPr>
          <w:u w:val="single"/>
        </w:rPr>
      </w:pPr>
      <w:r w:rsidRPr="00A672DC">
        <w:t xml:space="preserve">3. </w:t>
      </w:r>
      <w:r w:rsidRPr="00A672DC">
        <w:rPr>
          <w:u w:val="single"/>
        </w:rPr>
        <w:t>Bedarf</w:t>
      </w:r>
    </w:p>
    <w:p w:rsidR="00413ABB" w:rsidRPr="00A672DC" w:rsidRDefault="00413ABB" w:rsidP="00413ABB"/>
    <w:p w:rsidR="00413ABB" w:rsidRPr="00A672DC" w:rsidRDefault="00413ABB" w:rsidP="00413ABB">
      <w:pPr>
        <w:rPr>
          <w:b/>
        </w:rPr>
      </w:pPr>
      <w:r w:rsidRPr="00A672DC">
        <w:rPr>
          <w:b/>
          <w:kern w:val="24"/>
        </w:rPr>
        <w:t>3.</w:t>
      </w:r>
      <w:r w:rsidRPr="00A672DC">
        <w:rPr>
          <w:b/>
        </w:rPr>
        <w:t>1 Anlass</w:t>
      </w:r>
    </w:p>
    <w:p w:rsidR="00413ABB" w:rsidRPr="00A672DC" w:rsidRDefault="00413ABB" w:rsidP="00413ABB"/>
    <w:p w:rsidR="00A672DC" w:rsidRDefault="00A672DC" w:rsidP="00A672DC">
      <w:r>
        <w:t xml:space="preserve">Die Deutschen Bahn setzt derzeit das Bahnprojekt Stuttgart-Ulm (Stuttgart 21) um. Im Zuge der Planfeststellungsverfahren sind auch städtische Grundstücke betroffen, </w:t>
      </w:r>
      <w:r w:rsidR="00BF0312">
        <w:br/>
      </w:r>
      <w:r>
        <w:t xml:space="preserve">zulasten derer Dienstbarkeiten zugunsten der Deutschen Bahn </w:t>
      </w:r>
      <w:r w:rsidR="00FD2EF1">
        <w:t xml:space="preserve">für deren (neue) </w:t>
      </w:r>
      <w:r w:rsidR="00BF0312">
        <w:br/>
      </w:r>
      <w:r w:rsidR="00FD2EF1">
        <w:t xml:space="preserve">Betriebsanlagen, wie z.B. Gleisanlagen, Netzstationen, Rettungszugänge, etc., </w:t>
      </w:r>
      <w:r>
        <w:t>bestellt werden müssen</w:t>
      </w:r>
      <w:r w:rsidR="00084252">
        <w:t xml:space="preserve">. Ferner sind </w:t>
      </w:r>
      <w:r w:rsidR="00FD2EF1">
        <w:t xml:space="preserve">gem. den Planfeststellungsbeschlüssen </w:t>
      </w:r>
      <w:r w:rsidR="00084252">
        <w:t>auch Grundstücke</w:t>
      </w:r>
      <w:r>
        <w:t xml:space="preserve"> im Gesamten oder </w:t>
      </w:r>
      <w:r w:rsidR="00084252">
        <w:t>aber Teilflächen</w:t>
      </w:r>
      <w:r>
        <w:t xml:space="preserve"> an die Deutsche Bahn </w:t>
      </w:r>
      <w:r w:rsidR="00084252">
        <w:t>zu verkaufen</w:t>
      </w:r>
      <w:r>
        <w:t>.</w:t>
      </w:r>
    </w:p>
    <w:p w:rsidR="00A672DC" w:rsidRDefault="00A672DC" w:rsidP="00A672DC"/>
    <w:p w:rsidR="00A672DC" w:rsidRDefault="00A672DC" w:rsidP="00A672DC">
      <w:r>
        <w:t>Insgesamt sind über 110 städt. Grundstücke ganz oder teilweise an die Deutsche Bahn zu verkaufen und an ca. 730 städt. Grundstücken müssen Dienstbarkeiten zugunsten der Deutschen Bahn begründet werden.</w:t>
      </w:r>
    </w:p>
    <w:p w:rsidR="00A672DC" w:rsidRDefault="00A672DC" w:rsidP="00A672DC"/>
    <w:p w:rsidR="00A672DC" w:rsidRDefault="00A672DC" w:rsidP="00A672DC">
      <w:r>
        <w:t>Die Deutsche Bahn beginnt nun die grundbuchmäßige Umsetzung der Planfest</w:t>
      </w:r>
      <w:r w:rsidR="00BF0312">
        <w:t>-</w:t>
      </w:r>
      <w:r w:rsidR="00BF0312">
        <w:br/>
      </w:r>
      <w:proofErr w:type="spellStart"/>
      <w:r>
        <w:t>stellungsbeschlüsse</w:t>
      </w:r>
      <w:proofErr w:type="spellEnd"/>
      <w:r>
        <w:t>. Daher müssen mit der Deutschen Bahn die ca. 840 Kauf- und Dienstbarkeitsverträge bis zur Inbetriebnahme des Bahnprojekts, angekündigt ist 2025, verhandelt</w:t>
      </w:r>
      <w:r w:rsidR="00C46B28">
        <w:t xml:space="preserve">, beurkundet </w:t>
      </w:r>
      <w:r w:rsidR="00C46B28" w:rsidRPr="00BF0312">
        <w:t>und grundbuchrechtlich vollzogen</w:t>
      </w:r>
      <w:r w:rsidRPr="00BF0312">
        <w:t xml:space="preserve"> werden</w:t>
      </w:r>
      <w:r>
        <w:t>.</w:t>
      </w:r>
    </w:p>
    <w:p w:rsidR="00A672DC" w:rsidRDefault="00A672DC" w:rsidP="00A672DC"/>
    <w:p w:rsidR="00084252" w:rsidRPr="00FD2EF1" w:rsidRDefault="00A672DC" w:rsidP="00A672DC">
      <w:r>
        <w:t xml:space="preserve">Im Einzelnen fallen u. a. folgende </w:t>
      </w:r>
      <w:r w:rsidR="00A92C52">
        <w:t>(</w:t>
      </w:r>
      <w:r>
        <w:t>neue</w:t>
      </w:r>
      <w:r w:rsidR="00A92C52">
        <w:t>n)</w:t>
      </w:r>
      <w:r>
        <w:t xml:space="preserve"> Aufgaben an</w:t>
      </w:r>
      <w:r w:rsidRPr="00FD2EF1">
        <w:t>:</w:t>
      </w:r>
      <w:r w:rsidR="00FD2EF1" w:rsidRPr="00FD2EF1">
        <w:t xml:space="preserve"> </w:t>
      </w:r>
    </w:p>
    <w:p w:rsidR="00A672DC" w:rsidRDefault="00A672DC" w:rsidP="00A672DC"/>
    <w:p w:rsidR="00A672DC" w:rsidRDefault="00A672DC" w:rsidP="00FD2EF1">
      <w:pPr>
        <w:pStyle w:val="Listenabsatz"/>
        <w:numPr>
          <w:ilvl w:val="0"/>
          <w:numId w:val="7"/>
        </w:numPr>
        <w:ind w:left="426" w:hanging="426"/>
      </w:pPr>
      <w:r>
        <w:t xml:space="preserve">Liegenschaftsrechtliche Begleitung und Bewertung der grundbuchmäßigen </w:t>
      </w:r>
      <w:r w:rsidR="00BF0312">
        <w:br/>
      </w:r>
      <w:r>
        <w:t>Umsetzung der Planfeststellungsbeschlüsse</w:t>
      </w:r>
    </w:p>
    <w:p w:rsidR="00A672DC" w:rsidRDefault="00A672DC" w:rsidP="00FD2EF1">
      <w:pPr>
        <w:pStyle w:val="Listenabsatz"/>
        <w:numPr>
          <w:ilvl w:val="0"/>
          <w:numId w:val="7"/>
        </w:numPr>
        <w:ind w:left="426" w:hanging="426"/>
      </w:pPr>
      <w:r>
        <w:t>ämterübergreifende Abstimmung der städt. Erfordernisse betr. der zu veräußernden Grundstücke</w:t>
      </w:r>
    </w:p>
    <w:p w:rsidR="00A672DC" w:rsidRDefault="00A672DC" w:rsidP="00FD2EF1">
      <w:pPr>
        <w:pStyle w:val="Listenabsatz"/>
        <w:numPr>
          <w:ilvl w:val="0"/>
          <w:numId w:val="7"/>
        </w:numPr>
        <w:ind w:left="426" w:hanging="426"/>
      </w:pPr>
      <w:r>
        <w:t>Kaufpreisverhandlungen für die über 110 Grundstücksverkäufe</w:t>
      </w:r>
    </w:p>
    <w:p w:rsidR="00A672DC" w:rsidRDefault="00A672DC" w:rsidP="00FD2EF1">
      <w:pPr>
        <w:pStyle w:val="Listenabsatz"/>
        <w:numPr>
          <w:ilvl w:val="0"/>
          <w:numId w:val="7"/>
        </w:numPr>
        <w:ind w:left="426" w:hanging="426"/>
      </w:pPr>
      <w:r>
        <w:t>Ausarbeitung und Verhandlung von über 110 Grundstückskaufverträgen</w:t>
      </w:r>
    </w:p>
    <w:p w:rsidR="00A672DC" w:rsidRDefault="00A672DC" w:rsidP="00FD2EF1">
      <w:pPr>
        <w:pStyle w:val="Listenabsatz"/>
        <w:numPr>
          <w:ilvl w:val="0"/>
          <w:numId w:val="7"/>
        </w:numPr>
        <w:ind w:left="426" w:hanging="426"/>
      </w:pPr>
      <w:r>
        <w:t>Entschädigungsverhandlungen für die ca. 730 zu bestellenden Dienstbarkeiten</w:t>
      </w:r>
    </w:p>
    <w:p w:rsidR="00A672DC" w:rsidRPr="00A672DC" w:rsidRDefault="00A672DC" w:rsidP="00FD2EF1">
      <w:pPr>
        <w:pStyle w:val="Listenabsatz"/>
        <w:numPr>
          <w:ilvl w:val="0"/>
          <w:numId w:val="7"/>
        </w:numPr>
        <w:ind w:left="426" w:hanging="426"/>
      </w:pPr>
      <w:r>
        <w:t>Ausarbeitung und Verhandlung von ca. 730 Dienstbarkeitsbestellungsverein</w:t>
      </w:r>
      <w:r w:rsidR="00FD2EF1">
        <w:t>-</w:t>
      </w:r>
      <w:r w:rsidR="00FD2EF1">
        <w:br/>
      </w:r>
      <w:proofErr w:type="spellStart"/>
      <w:r>
        <w:t>ba</w:t>
      </w:r>
      <w:r w:rsidRPr="00A672DC">
        <w:t>rungen</w:t>
      </w:r>
      <w:proofErr w:type="spellEnd"/>
    </w:p>
    <w:p w:rsidR="00711461" w:rsidRDefault="00A672DC" w:rsidP="00FD2EF1">
      <w:pPr>
        <w:pStyle w:val="Listenabsatz"/>
        <w:numPr>
          <w:ilvl w:val="0"/>
          <w:numId w:val="7"/>
        </w:numPr>
        <w:ind w:left="426" w:hanging="426"/>
      </w:pPr>
      <w:r w:rsidRPr="00A672DC">
        <w:t xml:space="preserve">Vollzug </w:t>
      </w:r>
      <w:r w:rsidR="00A92C52">
        <w:t>der Verträge und Vereinbarungen.</w:t>
      </w:r>
    </w:p>
    <w:p w:rsidR="00A92C52" w:rsidRPr="00A672DC" w:rsidRDefault="00A92C52" w:rsidP="00A92C52"/>
    <w:p w:rsidR="00711461" w:rsidRPr="00A672DC" w:rsidRDefault="00A92C52" w:rsidP="00A60B65">
      <w:r>
        <w:t>Ferner sind die hierzu erforderlichen Vorzimmer- und Schreibarbeiten zu erledigen.</w:t>
      </w:r>
    </w:p>
    <w:p w:rsidR="00A60B65" w:rsidRPr="00A672DC" w:rsidRDefault="00A60B65" w:rsidP="00A60B65">
      <w:pPr>
        <w:pStyle w:val="berschrift2"/>
      </w:pPr>
      <w:r w:rsidRPr="00A672DC">
        <w:t>3.2</w:t>
      </w:r>
      <w:r w:rsidRPr="00A672DC">
        <w:tab/>
        <w:t>Bisherige Aufgabenwahrnehmung</w:t>
      </w:r>
    </w:p>
    <w:p w:rsidR="00A60B65" w:rsidRPr="00A672DC" w:rsidRDefault="00A60B65" w:rsidP="00A60B65"/>
    <w:p w:rsidR="00A672DC" w:rsidRPr="00A672DC" w:rsidRDefault="00A672DC" w:rsidP="00A672DC">
      <w:r w:rsidRPr="00A672DC">
        <w:t>Die Aufgabe stellt sich neu.</w:t>
      </w:r>
    </w:p>
    <w:p w:rsidR="00A60B65" w:rsidRPr="00A672DC" w:rsidRDefault="00A60B65" w:rsidP="00A60B65">
      <w:pPr>
        <w:pStyle w:val="berschrift2"/>
      </w:pPr>
      <w:r w:rsidRPr="00A672DC">
        <w:t>3.3</w:t>
      </w:r>
      <w:r w:rsidRPr="00A672DC">
        <w:tab/>
        <w:t>Auswirkungen bei Ablehnung der Stellenschaffungen</w:t>
      </w:r>
    </w:p>
    <w:p w:rsidR="00A60B65" w:rsidRPr="00A672DC" w:rsidRDefault="00A60B65" w:rsidP="00A60B65"/>
    <w:p w:rsidR="00A672DC" w:rsidRPr="00A672DC" w:rsidRDefault="00A672DC" w:rsidP="00A672DC">
      <w:r w:rsidRPr="00A672DC">
        <w:t>Bei Ablehnung der Stellenschaffung kann ein Verkauf von über 110 städt. Grund</w:t>
      </w:r>
      <w:r w:rsidR="00BF0312">
        <w:t>-</w:t>
      </w:r>
      <w:r w:rsidR="00BF0312">
        <w:br/>
      </w:r>
      <w:r w:rsidRPr="00A672DC">
        <w:t>stücken bzw. Teilflächen städt. Grundstücke sowie die Bestellung von Dienstbarkeiten an ca. 730 städt. Grundstücken nicht bis zur Inbetriebnahme des Bahnprojekts erfolgen.</w:t>
      </w:r>
    </w:p>
    <w:p w:rsidR="00A672DC" w:rsidRPr="00A672DC" w:rsidRDefault="00A672DC" w:rsidP="00A672DC"/>
    <w:p w:rsidR="00A672DC" w:rsidRPr="00A672DC" w:rsidRDefault="00A672DC" w:rsidP="00A672DC">
      <w:r w:rsidRPr="00A672DC">
        <w:t xml:space="preserve">Damit würde die Landeshauptstadt Stuttgart ihrer Pflicht als Projektpartner nicht nachkommen. Die Folge wäre, dass entsprechende Enteignungsverfahren von der </w:t>
      </w:r>
      <w:r w:rsidR="00BF0312">
        <w:br/>
      </w:r>
      <w:r w:rsidRPr="00A672DC">
        <w:t xml:space="preserve">Deutschen Bahn eingeleitet werden würden. Diese könnten </w:t>
      </w:r>
      <w:r w:rsidR="00084252">
        <w:t xml:space="preserve">jedoch </w:t>
      </w:r>
      <w:proofErr w:type="spellStart"/>
      <w:r w:rsidR="00084252">
        <w:t>liegenschaftlicherseits</w:t>
      </w:r>
      <w:proofErr w:type="spellEnd"/>
      <w:r w:rsidR="00084252">
        <w:t xml:space="preserve"> </w:t>
      </w:r>
      <w:r w:rsidRPr="00A672DC">
        <w:t>ebenfalls nicht begleitet werden.</w:t>
      </w:r>
    </w:p>
    <w:p w:rsidR="00A672DC" w:rsidRPr="00A672DC" w:rsidRDefault="00A672DC" w:rsidP="00A672DC"/>
    <w:p w:rsidR="00A672DC" w:rsidRPr="00A672DC" w:rsidRDefault="00A672DC" w:rsidP="00A672DC">
      <w:r w:rsidRPr="00A672DC">
        <w:t>Dies hätte zur Konsequenz, dass im Enteignungsverfahren dann die Enteignung fest</w:t>
      </w:r>
      <w:r w:rsidR="00BF0312">
        <w:t>-</w:t>
      </w:r>
      <w:r w:rsidR="00BF0312">
        <w:br/>
      </w:r>
      <w:r w:rsidRPr="00A672DC">
        <w:t>gestellt werden würde, ohne dass die Landeshauptstadt Stuttgart wesentlich Einfluss nehmen kann. Diese fehlende Berücksichtigung städt. Interessen könnte sich ggf. wertmindernd auf die städt. Grundstücke auswirken. In der Folge wären dann weitreichende Konsequenzen und Nachteile für die Stadt zu befürchten.</w:t>
      </w:r>
    </w:p>
    <w:p w:rsidR="00A672DC" w:rsidRPr="00A672DC" w:rsidRDefault="00A672DC" w:rsidP="00A672DC"/>
    <w:p w:rsidR="00A60B65" w:rsidRPr="00A672DC" w:rsidRDefault="00A672DC" w:rsidP="00A672DC">
      <w:r w:rsidRPr="00A672DC">
        <w:t>Weiter müsste dann für das Enteignungsverfahren eine externe juristische Beratung in Anspruch genommen werden.</w:t>
      </w:r>
    </w:p>
    <w:p w:rsidR="00A60B65" w:rsidRPr="00324EFC" w:rsidRDefault="00A60B65" w:rsidP="00A60B65">
      <w:pPr>
        <w:pStyle w:val="berschrift1"/>
      </w:pPr>
      <w:r w:rsidRPr="00324EFC">
        <w:lastRenderedPageBreak/>
        <w:t>4</w:t>
      </w:r>
      <w:r w:rsidR="00A12B84" w:rsidRPr="00324EFC">
        <w:tab/>
      </w:r>
      <w:r w:rsidRPr="00324EFC">
        <w:t>Stellenvermerke</w:t>
      </w:r>
    </w:p>
    <w:p w:rsidR="00AE0299" w:rsidRDefault="00AE0299"/>
    <w:p w:rsidR="00A12B84" w:rsidRDefault="00A12B84">
      <w:r>
        <w:t xml:space="preserve">KW 01/2026 </w:t>
      </w:r>
    </w:p>
    <w:p w:rsidR="00A12B84" w:rsidRDefault="00A12B84"/>
    <w:p w:rsidR="00A60B65" w:rsidRPr="009D377C" w:rsidRDefault="00A12B84">
      <w:r>
        <w:t>S 21</w:t>
      </w:r>
    </w:p>
    <w:sectPr w:rsidR="00A60B65" w:rsidRPr="009D377C"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670" w:rsidRDefault="005D0670">
      <w:r>
        <w:separator/>
      </w:r>
    </w:p>
  </w:endnote>
  <w:endnote w:type="continuationSeparator" w:id="0">
    <w:p w:rsidR="005D0670" w:rsidRDefault="005D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670" w:rsidRDefault="005D0670">
      <w:r>
        <w:separator/>
      </w:r>
    </w:p>
  </w:footnote>
  <w:footnote w:type="continuationSeparator" w:id="0">
    <w:p w:rsidR="005D0670" w:rsidRDefault="005D06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0B65" w:rsidRDefault="00A60B65">
    <w:pPr>
      <w:framePr w:wrap="around" w:vAnchor="page" w:hAnchor="page" w:xAlign="center" w:y="710"/>
      <w:rPr>
        <w:rStyle w:val="Seitenzahl"/>
      </w:rPr>
    </w:pPr>
    <w:r>
      <w:rPr>
        <w:rStyle w:val="Seitenzahl"/>
      </w:rPr>
      <w:t xml:space="preserve">- </w:t>
    </w:r>
    <w:r>
      <w:rPr>
        <w:rStyle w:val="Seitenzahl"/>
      </w:rPr>
      <w:fldChar w:fldCharType="begin"/>
    </w:r>
    <w:r>
      <w:rPr>
        <w:rStyle w:val="Seitenzahl"/>
      </w:rPr>
      <w:instrText xml:space="preserve"> PAGE </w:instrText>
    </w:r>
    <w:r>
      <w:rPr>
        <w:rStyle w:val="Seitenzahl"/>
      </w:rPr>
      <w:fldChar w:fldCharType="separate"/>
    </w:r>
    <w:r w:rsidR="004E72DA">
      <w:rPr>
        <w:rStyle w:val="Seitenzahl"/>
        <w:noProof/>
      </w:rPr>
      <w:t>3</w:t>
    </w:r>
    <w:r>
      <w:rPr>
        <w:rStyle w:val="Seitenzahl"/>
      </w:rPr>
      <w:fldChar w:fldCharType="end"/>
    </w:r>
    <w:r>
      <w:rPr>
        <w:rStyle w:val="Seitenzahl"/>
      </w:rPr>
      <w:t xml:space="preserve"> -</w:t>
    </w:r>
  </w:p>
  <w:p w:rsidR="00A60B65" w:rsidRDefault="00A60B6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468C36B0"/>
    <w:multiLevelType w:val="hybridMultilevel"/>
    <w:tmpl w:val="05AC199A"/>
    <w:lvl w:ilvl="0" w:tplc="D62628B4">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2235C74"/>
    <w:multiLevelType w:val="hybridMultilevel"/>
    <w:tmpl w:val="197269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84252"/>
    <w:rsid w:val="000940FE"/>
    <w:rsid w:val="000A1146"/>
    <w:rsid w:val="000D2E9F"/>
    <w:rsid w:val="001058DD"/>
    <w:rsid w:val="00151DC3"/>
    <w:rsid w:val="00165C0D"/>
    <w:rsid w:val="00181857"/>
    <w:rsid w:val="001C084F"/>
    <w:rsid w:val="001F5D9F"/>
    <w:rsid w:val="002058C2"/>
    <w:rsid w:val="00213C7A"/>
    <w:rsid w:val="00245EF8"/>
    <w:rsid w:val="00255AE0"/>
    <w:rsid w:val="002812E4"/>
    <w:rsid w:val="002924CB"/>
    <w:rsid w:val="002B6783"/>
    <w:rsid w:val="002C2BCF"/>
    <w:rsid w:val="003237BB"/>
    <w:rsid w:val="00324EFC"/>
    <w:rsid w:val="003B6424"/>
    <w:rsid w:val="003D5196"/>
    <w:rsid w:val="003D7B0B"/>
    <w:rsid w:val="00413ABB"/>
    <w:rsid w:val="00437756"/>
    <w:rsid w:val="00453F67"/>
    <w:rsid w:val="004920E9"/>
    <w:rsid w:val="004B6796"/>
    <w:rsid w:val="004D7F89"/>
    <w:rsid w:val="004E72DA"/>
    <w:rsid w:val="005D0670"/>
    <w:rsid w:val="005E7511"/>
    <w:rsid w:val="005E7A74"/>
    <w:rsid w:val="00604EEE"/>
    <w:rsid w:val="00627E17"/>
    <w:rsid w:val="00694161"/>
    <w:rsid w:val="006E0575"/>
    <w:rsid w:val="00711461"/>
    <w:rsid w:val="00746A71"/>
    <w:rsid w:val="00767369"/>
    <w:rsid w:val="007731D5"/>
    <w:rsid w:val="007B5FE2"/>
    <w:rsid w:val="007D10DD"/>
    <w:rsid w:val="007D3B6F"/>
    <w:rsid w:val="0083052F"/>
    <w:rsid w:val="00856C1B"/>
    <w:rsid w:val="00884D6C"/>
    <w:rsid w:val="00891246"/>
    <w:rsid w:val="00893E55"/>
    <w:rsid w:val="00960375"/>
    <w:rsid w:val="009B0FBE"/>
    <w:rsid w:val="009D1E6A"/>
    <w:rsid w:val="009D377C"/>
    <w:rsid w:val="00A12B84"/>
    <w:rsid w:val="00A20E9F"/>
    <w:rsid w:val="00A34898"/>
    <w:rsid w:val="00A60B65"/>
    <w:rsid w:val="00A672DC"/>
    <w:rsid w:val="00A7344E"/>
    <w:rsid w:val="00A77F1E"/>
    <w:rsid w:val="00A92C52"/>
    <w:rsid w:val="00AE0299"/>
    <w:rsid w:val="00B04290"/>
    <w:rsid w:val="00B12A52"/>
    <w:rsid w:val="00B238D8"/>
    <w:rsid w:val="00B42B93"/>
    <w:rsid w:val="00B503DD"/>
    <w:rsid w:val="00B76A76"/>
    <w:rsid w:val="00B80DEF"/>
    <w:rsid w:val="00B8785A"/>
    <w:rsid w:val="00BF0312"/>
    <w:rsid w:val="00C42332"/>
    <w:rsid w:val="00C448D3"/>
    <w:rsid w:val="00C46B28"/>
    <w:rsid w:val="00C65C37"/>
    <w:rsid w:val="00C73163"/>
    <w:rsid w:val="00CD0B27"/>
    <w:rsid w:val="00CE41DB"/>
    <w:rsid w:val="00D07C2D"/>
    <w:rsid w:val="00D24277"/>
    <w:rsid w:val="00DA24CD"/>
    <w:rsid w:val="00DA701E"/>
    <w:rsid w:val="00DE32BA"/>
    <w:rsid w:val="00DF268B"/>
    <w:rsid w:val="00DF3470"/>
    <w:rsid w:val="00E1162F"/>
    <w:rsid w:val="00E11D5F"/>
    <w:rsid w:val="00ED64F8"/>
    <w:rsid w:val="00F00C79"/>
    <w:rsid w:val="00F132FA"/>
    <w:rsid w:val="00F27657"/>
    <w:rsid w:val="00F27BB8"/>
    <w:rsid w:val="00F97D37"/>
    <w:rsid w:val="00FD2EF1"/>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29188A"/>
  <w15:docId w15:val="{8E250CDF-5154-4334-A73A-C2C70E560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B12A52"/>
    <w:pPr>
      <w:keepNext/>
      <w:spacing w:before="240" w:after="60"/>
      <w:outlineLvl w:val="2"/>
    </w:pPr>
    <w:rPr>
      <w:b/>
    </w:rPr>
  </w:style>
  <w:style w:type="paragraph" w:styleId="berschrift4">
    <w:name w:val="heading 4"/>
    <w:basedOn w:val="Standard"/>
    <w:next w:val="Standard"/>
    <w:qFormat/>
    <w:rsid w:val="00B12A52"/>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B12A52"/>
    <w:rPr>
      <w:sz w:val="16"/>
    </w:rPr>
  </w:style>
  <w:style w:type="paragraph" w:styleId="Kommentartext">
    <w:name w:val="annotation text"/>
    <w:basedOn w:val="Standard"/>
    <w:semiHidden/>
    <w:rsid w:val="00B12A52"/>
    <w:rPr>
      <w:sz w:val="20"/>
    </w:rPr>
  </w:style>
  <w:style w:type="paragraph" w:styleId="Fuzeile">
    <w:name w:val="footer"/>
    <w:basedOn w:val="Standard"/>
    <w:rsid w:val="00B12A52"/>
    <w:pPr>
      <w:tabs>
        <w:tab w:val="center" w:pos="4819"/>
        <w:tab w:val="right" w:pos="9071"/>
      </w:tabs>
    </w:pPr>
  </w:style>
  <w:style w:type="paragraph" w:styleId="Kopfzeile">
    <w:name w:val="header"/>
    <w:basedOn w:val="Standard"/>
    <w:rsid w:val="00B12A52"/>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627E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F422B1A8.dotm</Template>
  <TotalTime>0</TotalTime>
  <Pages>3</Pages>
  <Words>495</Words>
  <Characters>3448</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lastModifiedBy>Hauser, Petra</cp:lastModifiedBy>
  <cp:revision>15</cp:revision>
  <cp:lastPrinted>2019-09-23T08:27:00Z</cp:lastPrinted>
  <dcterms:created xsi:type="dcterms:W3CDTF">2019-01-21T15:30:00Z</dcterms:created>
  <dcterms:modified xsi:type="dcterms:W3CDTF">2019-09-23T08:28:00Z</dcterms:modified>
</cp:coreProperties>
</file>