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E277C8">
        <w:rPr>
          <w:szCs w:val="24"/>
        </w:rPr>
        <w:t>12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E277C8">
        <w:rPr>
          <w:szCs w:val="24"/>
        </w:rPr>
        <w:t>885</w:t>
      </w:r>
      <w:r w:rsidR="00891246">
        <w:rPr>
          <w:szCs w:val="24"/>
        </w:rPr>
        <w:t>/201</w:t>
      </w:r>
      <w:r w:rsidR="00711461">
        <w:rPr>
          <w:szCs w:val="24"/>
        </w:rPr>
        <w:t>9</w:t>
      </w:r>
    </w:p>
    <w:p w:rsidR="003D7B0B" w:rsidRPr="006E0575" w:rsidRDefault="003D7B0B" w:rsidP="006E0575"/>
    <w:p w:rsidR="00694161" w:rsidRPr="00694161" w:rsidRDefault="00694161" w:rsidP="00694161"/>
    <w:p w:rsidR="000B583A" w:rsidRPr="000B583A" w:rsidRDefault="000B583A" w:rsidP="000B583A">
      <w:pPr>
        <w:jc w:val="center"/>
        <w:outlineLvl w:val="0"/>
        <w:rPr>
          <w:b/>
          <w:sz w:val="36"/>
          <w:szCs w:val="24"/>
          <w:u w:val="single"/>
        </w:rPr>
      </w:pPr>
      <w:r w:rsidRPr="000B583A">
        <w:rPr>
          <w:b/>
          <w:sz w:val="36"/>
          <w:szCs w:val="24"/>
          <w:u w:val="single"/>
        </w:rPr>
        <w:t>Verlän</w:t>
      </w:r>
      <w:r w:rsidRPr="000B583A">
        <w:rPr>
          <w:b/>
          <w:sz w:val="36"/>
          <w:szCs w:val="24"/>
        </w:rPr>
        <w:t>g</w:t>
      </w:r>
      <w:r w:rsidRPr="000B583A">
        <w:rPr>
          <w:b/>
          <w:sz w:val="36"/>
          <w:szCs w:val="24"/>
          <w:u w:val="single"/>
        </w:rPr>
        <w:t>erun</w:t>
      </w:r>
      <w:r w:rsidRPr="000B583A">
        <w:rPr>
          <w:b/>
          <w:sz w:val="36"/>
          <w:szCs w:val="24"/>
        </w:rPr>
        <w:t>g</w:t>
      </w:r>
      <w:r w:rsidRPr="000B583A">
        <w:rPr>
          <w:b/>
          <w:sz w:val="36"/>
          <w:szCs w:val="24"/>
          <w:u w:val="single"/>
        </w:rPr>
        <w:t xml:space="preserve"> eines Stellenvermerks </w:t>
      </w:r>
      <w:r w:rsidRPr="000B583A">
        <w:rPr>
          <w:b/>
          <w:sz w:val="36"/>
          <w:szCs w:val="24"/>
          <w:u w:val="single"/>
        </w:rPr>
        <w:br/>
        <w:t>zum Stellenplan 202</w:t>
      </w:r>
      <w:r w:rsidR="00C30E2D">
        <w:rPr>
          <w:b/>
          <w:sz w:val="36"/>
          <w:szCs w:val="24"/>
          <w:u w:val="single"/>
        </w:rPr>
        <w:t>0</w:t>
      </w:r>
    </w:p>
    <w:p w:rsidR="000B583A" w:rsidRPr="000B583A" w:rsidRDefault="000B583A" w:rsidP="000B583A">
      <w:pPr>
        <w:rPr>
          <w:szCs w:val="24"/>
        </w:rPr>
      </w:pPr>
    </w:p>
    <w:p w:rsidR="000B583A" w:rsidRPr="000B583A" w:rsidRDefault="000B583A" w:rsidP="000B583A">
      <w:pPr>
        <w:rPr>
          <w:szCs w:val="24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0B583A" w:rsidRPr="000B583A" w:rsidTr="000B583A">
        <w:trPr>
          <w:tblHeader/>
        </w:trPr>
        <w:tc>
          <w:tcPr>
            <w:tcW w:w="1814" w:type="dxa"/>
            <w:shd w:val="pct12" w:color="auto" w:fill="FFFFFF"/>
          </w:tcPr>
          <w:p w:rsidR="000B583A" w:rsidRPr="000B583A" w:rsidRDefault="000B583A" w:rsidP="000B583A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0B583A">
              <w:rPr>
                <w:sz w:val="16"/>
                <w:szCs w:val="16"/>
              </w:rPr>
              <w:t>Stellennummer,</w:t>
            </w:r>
          </w:p>
          <w:p w:rsidR="000B583A" w:rsidRPr="000B583A" w:rsidRDefault="000B583A" w:rsidP="000B583A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0B583A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0B583A" w:rsidRPr="000B583A" w:rsidRDefault="000B583A" w:rsidP="000B583A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0B583A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0B583A" w:rsidRPr="000B583A" w:rsidRDefault="000B583A" w:rsidP="000B583A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 w:rsidRPr="000B583A">
              <w:rPr>
                <w:sz w:val="16"/>
                <w:szCs w:val="16"/>
              </w:rPr>
              <w:t>BesGr</w:t>
            </w:r>
            <w:proofErr w:type="spellEnd"/>
            <w:r w:rsidRPr="000B583A">
              <w:rPr>
                <w:sz w:val="16"/>
                <w:szCs w:val="16"/>
              </w:rPr>
              <w:t>.</w:t>
            </w:r>
          </w:p>
          <w:p w:rsidR="000B583A" w:rsidRPr="000B583A" w:rsidRDefault="000B583A" w:rsidP="000B583A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0B583A">
              <w:rPr>
                <w:sz w:val="16"/>
                <w:szCs w:val="16"/>
              </w:rPr>
              <w:t>oder</w:t>
            </w:r>
          </w:p>
          <w:p w:rsidR="000B583A" w:rsidRPr="000B583A" w:rsidRDefault="000B583A" w:rsidP="000B583A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0B583A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0B583A" w:rsidRPr="000B583A" w:rsidRDefault="000B583A" w:rsidP="000B583A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0B583A">
              <w:rPr>
                <w:sz w:val="16"/>
                <w:szCs w:val="16"/>
              </w:rPr>
              <w:t>Funktions-</w:t>
            </w:r>
            <w:r w:rsidRPr="000B583A">
              <w:rPr>
                <w:sz w:val="16"/>
                <w:szCs w:val="16"/>
              </w:rPr>
              <w:br/>
            </w:r>
            <w:proofErr w:type="spellStart"/>
            <w:r w:rsidRPr="000B583A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0B583A" w:rsidRPr="000B583A" w:rsidRDefault="000B583A" w:rsidP="000B583A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0B583A">
              <w:rPr>
                <w:sz w:val="16"/>
                <w:szCs w:val="16"/>
              </w:rPr>
              <w:t>Anzahl</w:t>
            </w:r>
            <w:r w:rsidRPr="000B583A">
              <w:rPr>
                <w:sz w:val="16"/>
                <w:szCs w:val="16"/>
              </w:rPr>
              <w:br/>
              <w:t>der</w:t>
            </w:r>
            <w:r w:rsidRPr="000B583A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0B583A" w:rsidRPr="000B583A" w:rsidRDefault="000B583A" w:rsidP="000B583A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0B583A">
              <w:rPr>
                <w:sz w:val="16"/>
                <w:szCs w:val="16"/>
              </w:rPr>
              <w:t>Stellen-</w:t>
            </w:r>
            <w:r w:rsidRPr="000B583A">
              <w:rPr>
                <w:sz w:val="16"/>
                <w:szCs w:val="16"/>
              </w:rPr>
              <w:br/>
              <w:t>vermerk</w:t>
            </w:r>
          </w:p>
          <w:p w:rsidR="000B583A" w:rsidRPr="000B583A" w:rsidRDefault="000B583A" w:rsidP="000B583A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0B583A">
              <w:rPr>
                <w:sz w:val="16"/>
                <w:szCs w:val="16"/>
              </w:rPr>
              <w:t>bisher</w:t>
            </w:r>
          </w:p>
          <w:p w:rsidR="000B583A" w:rsidRPr="000B583A" w:rsidRDefault="000B583A" w:rsidP="000B583A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0B583A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0B583A" w:rsidRPr="000B583A" w:rsidRDefault="000B583A" w:rsidP="000B583A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 w:rsidRPr="000B583A">
              <w:rPr>
                <w:sz w:val="16"/>
                <w:szCs w:val="16"/>
              </w:rPr>
              <w:t>durchschnittl</w:t>
            </w:r>
            <w:proofErr w:type="spellEnd"/>
            <w:r w:rsidRPr="000B583A">
              <w:rPr>
                <w:sz w:val="16"/>
                <w:szCs w:val="16"/>
              </w:rPr>
              <w:t>.</w:t>
            </w:r>
            <w:r w:rsidRPr="000B583A">
              <w:rPr>
                <w:sz w:val="16"/>
                <w:szCs w:val="16"/>
              </w:rPr>
              <w:br/>
            </w:r>
            <w:proofErr w:type="spellStart"/>
            <w:r w:rsidRPr="000B583A">
              <w:rPr>
                <w:sz w:val="16"/>
                <w:szCs w:val="16"/>
              </w:rPr>
              <w:t>jährl</w:t>
            </w:r>
            <w:proofErr w:type="spellEnd"/>
            <w:r w:rsidRPr="000B583A">
              <w:rPr>
                <w:sz w:val="16"/>
                <w:szCs w:val="16"/>
              </w:rPr>
              <w:t>. kosten-</w:t>
            </w:r>
            <w:r w:rsidRPr="000B583A">
              <w:rPr>
                <w:sz w:val="16"/>
                <w:szCs w:val="16"/>
              </w:rPr>
              <w:br/>
              <w:t>wirksamer</w:t>
            </w:r>
            <w:r w:rsidRPr="000B583A">
              <w:rPr>
                <w:sz w:val="16"/>
                <w:szCs w:val="16"/>
              </w:rPr>
              <w:br/>
              <w:t>Aufwand</w:t>
            </w:r>
            <w:r w:rsidRPr="000B583A">
              <w:rPr>
                <w:sz w:val="16"/>
                <w:szCs w:val="16"/>
              </w:rPr>
              <w:br/>
              <w:t>in Euro</w:t>
            </w:r>
          </w:p>
        </w:tc>
      </w:tr>
      <w:tr w:rsidR="000B583A" w:rsidRPr="000B583A" w:rsidTr="000B583A">
        <w:tc>
          <w:tcPr>
            <w:tcW w:w="1814" w:type="dxa"/>
          </w:tcPr>
          <w:p w:rsidR="000B583A" w:rsidRDefault="000B583A" w:rsidP="000B583A">
            <w:pPr>
              <w:rPr>
                <w:sz w:val="20"/>
              </w:rPr>
            </w:pPr>
          </w:p>
          <w:p w:rsidR="000B583A" w:rsidRPr="00EB38FF" w:rsidRDefault="000B583A" w:rsidP="000B583A">
            <w:pPr>
              <w:rPr>
                <w:rFonts w:cs="Arial"/>
                <w:sz w:val="20"/>
              </w:rPr>
            </w:pPr>
            <w:r w:rsidRPr="00EB38FF">
              <w:rPr>
                <w:rFonts w:cs="Arial"/>
                <w:color w:val="000000"/>
                <w:sz w:val="20"/>
              </w:rPr>
              <w:t>230</w:t>
            </w:r>
            <w:r w:rsidR="00113CF4">
              <w:rPr>
                <w:rFonts w:cs="Arial"/>
                <w:color w:val="000000"/>
                <w:sz w:val="20"/>
              </w:rPr>
              <w:t xml:space="preserve"> </w:t>
            </w:r>
            <w:r w:rsidRPr="00EB38FF">
              <w:rPr>
                <w:rFonts w:cs="Arial"/>
                <w:color w:val="000000"/>
                <w:sz w:val="20"/>
              </w:rPr>
              <w:t>2000</w:t>
            </w:r>
            <w:r w:rsidR="00113CF4">
              <w:rPr>
                <w:rFonts w:cs="Arial"/>
                <w:color w:val="000000"/>
                <w:sz w:val="20"/>
              </w:rPr>
              <w:t xml:space="preserve"> </w:t>
            </w:r>
            <w:r w:rsidRPr="00EB38FF">
              <w:rPr>
                <w:rFonts w:cs="Arial"/>
                <w:color w:val="000000"/>
                <w:sz w:val="20"/>
              </w:rPr>
              <w:t>120</w:t>
            </w:r>
            <w:r w:rsidRPr="00EB38FF">
              <w:rPr>
                <w:rFonts w:cs="Arial"/>
                <w:sz w:val="20"/>
              </w:rPr>
              <w:t xml:space="preserve"> </w:t>
            </w:r>
          </w:p>
          <w:p w:rsidR="000B583A" w:rsidRDefault="000B583A" w:rsidP="000B583A">
            <w:pPr>
              <w:rPr>
                <w:sz w:val="20"/>
              </w:rPr>
            </w:pPr>
          </w:p>
          <w:p w:rsidR="000B583A" w:rsidRDefault="000B583A" w:rsidP="000B583A">
            <w:pPr>
              <w:rPr>
                <w:sz w:val="20"/>
              </w:rPr>
            </w:pPr>
            <w:r w:rsidRPr="00787D2F">
              <w:rPr>
                <w:sz w:val="20"/>
              </w:rPr>
              <w:t>23205010</w:t>
            </w:r>
          </w:p>
          <w:p w:rsidR="000B583A" w:rsidRPr="006E0575" w:rsidRDefault="000B583A" w:rsidP="000B583A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B583A" w:rsidRDefault="000B583A" w:rsidP="000B583A">
            <w:pPr>
              <w:rPr>
                <w:sz w:val="20"/>
              </w:rPr>
            </w:pPr>
          </w:p>
          <w:p w:rsidR="000B583A" w:rsidRPr="006E0575" w:rsidRDefault="000B583A" w:rsidP="000B583A">
            <w:pPr>
              <w:rPr>
                <w:sz w:val="20"/>
              </w:rPr>
            </w:pPr>
            <w:r>
              <w:rPr>
                <w:sz w:val="20"/>
              </w:rPr>
              <w:t xml:space="preserve">Liegenschaftsamt </w:t>
            </w:r>
          </w:p>
        </w:tc>
        <w:tc>
          <w:tcPr>
            <w:tcW w:w="794" w:type="dxa"/>
          </w:tcPr>
          <w:p w:rsidR="000B583A" w:rsidRDefault="000B583A" w:rsidP="000B583A">
            <w:pPr>
              <w:jc w:val="center"/>
              <w:rPr>
                <w:sz w:val="20"/>
              </w:rPr>
            </w:pPr>
          </w:p>
          <w:p w:rsidR="000B583A" w:rsidRDefault="000B583A" w:rsidP="000B58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12</w:t>
            </w:r>
          </w:p>
          <w:p w:rsidR="000B583A" w:rsidRDefault="000B583A" w:rsidP="000B583A">
            <w:pPr>
              <w:jc w:val="center"/>
              <w:rPr>
                <w:sz w:val="20"/>
              </w:rPr>
            </w:pPr>
          </w:p>
          <w:p w:rsidR="000B583A" w:rsidRDefault="000B583A" w:rsidP="000B583A">
            <w:pPr>
              <w:jc w:val="center"/>
              <w:rPr>
                <w:sz w:val="20"/>
              </w:rPr>
            </w:pPr>
          </w:p>
          <w:p w:rsidR="000B583A" w:rsidRPr="006E0575" w:rsidRDefault="000B583A" w:rsidP="000B583A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0B583A" w:rsidRDefault="000B583A" w:rsidP="000B583A">
            <w:pPr>
              <w:rPr>
                <w:sz w:val="20"/>
              </w:rPr>
            </w:pPr>
          </w:p>
          <w:p w:rsidR="000B583A" w:rsidRPr="006E0575" w:rsidRDefault="000B583A" w:rsidP="00E277C8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E277C8">
              <w:rPr>
                <w:sz w:val="20"/>
              </w:rPr>
              <w:t>/-in</w:t>
            </w:r>
            <w:r>
              <w:rPr>
                <w:sz w:val="20"/>
              </w:rPr>
              <w:t xml:space="preserve"> im Grundstücksverkehr</w:t>
            </w:r>
          </w:p>
        </w:tc>
        <w:tc>
          <w:tcPr>
            <w:tcW w:w="737" w:type="dxa"/>
            <w:shd w:val="clear" w:color="auto" w:fill="auto"/>
          </w:tcPr>
          <w:p w:rsidR="000B583A" w:rsidRDefault="000B583A" w:rsidP="000B583A">
            <w:pPr>
              <w:jc w:val="center"/>
              <w:rPr>
                <w:sz w:val="20"/>
              </w:rPr>
            </w:pPr>
          </w:p>
          <w:p w:rsidR="000B583A" w:rsidRDefault="000B583A" w:rsidP="000B58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0B583A" w:rsidRDefault="000B583A" w:rsidP="000B583A">
            <w:pPr>
              <w:jc w:val="center"/>
              <w:rPr>
                <w:sz w:val="20"/>
              </w:rPr>
            </w:pPr>
          </w:p>
          <w:p w:rsidR="000B583A" w:rsidRDefault="000B583A" w:rsidP="000B583A">
            <w:pPr>
              <w:jc w:val="center"/>
              <w:rPr>
                <w:sz w:val="20"/>
              </w:rPr>
            </w:pPr>
          </w:p>
          <w:p w:rsidR="000B583A" w:rsidRPr="006E0575" w:rsidRDefault="000B583A" w:rsidP="000B583A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583A" w:rsidRPr="00A60B65" w:rsidRDefault="000B583A" w:rsidP="000B583A">
            <w:pPr>
              <w:jc w:val="center"/>
              <w:rPr>
                <w:sz w:val="20"/>
              </w:rPr>
            </w:pPr>
          </w:p>
          <w:p w:rsidR="000B583A" w:rsidRDefault="000B583A" w:rsidP="000B583A">
            <w:pPr>
              <w:jc w:val="center"/>
              <w:rPr>
                <w:sz w:val="20"/>
              </w:rPr>
            </w:pPr>
            <w:proofErr w:type="spellStart"/>
            <w:r w:rsidRPr="00A60B65">
              <w:rPr>
                <w:sz w:val="20"/>
              </w:rPr>
              <w:t>kw</w:t>
            </w:r>
            <w:proofErr w:type="spellEnd"/>
            <w:r w:rsidRPr="00A60B65">
              <w:rPr>
                <w:sz w:val="20"/>
              </w:rPr>
              <w:t xml:space="preserve"> </w:t>
            </w:r>
            <w:r>
              <w:rPr>
                <w:sz w:val="20"/>
              </w:rPr>
              <w:t>01/2020</w:t>
            </w:r>
          </w:p>
          <w:p w:rsidR="000B583A" w:rsidRDefault="000B583A" w:rsidP="000B583A">
            <w:pPr>
              <w:jc w:val="center"/>
              <w:rPr>
                <w:sz w:val="20"/>
              </w:rPr>
            </w:pPr>
          </w:p>
          <w:p w:rsidR="000B583A" w:rsidRPr="000B583A" w:rsidRDefault="000B583A" w:rsidP="000B583A">
            <w:pPr>
              <w:jc w:val="center"/>
              <w:rPr>
                <w:b/>
                <w:sz w:val="20"/>
              </w:rPr>
            </w:pPr>
            <w:proofErr w:type="spellStart"/>
            <w:r w:rsidRPr="000B583A">
              <w:rPr>
                <w:b/>
                <w:sz w:val="20"/>
              </w:rPr>
              <w:t>kw</w:t>
            </w:r>
            <w:proofErr w:type="spellEnd"/>
            <w:r w:rsidRPr="000B583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01/2026</w:t>
            </w:r>
          </w:p>
        </w:tc>
        <w:tc>
          <w:tcPr>
            <w:tcW w:w="1417" w:type="dxa"/>
          </w:tcPr>
          <w:p w:rsidR="000B583A" w:rsidRPr="000B583A" w:rsidRDefault="000B583A" w:rsidP="000B583A">
            <w:pPr>
              <w:rPr>
                <w:sz w:val="20"/>
                <w:szCs w:val="24"/>
              </w:rPr>
            </w:pPr>
          </w:p>
          <w:p w:rsidR="000B583A" w:rsidRPr="000B583A" w:rsidRDefault="00E277C8" w:rsidP="000B583A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--</w:t>
            </w:r>
          </w:p>
        </w:tc>
      </w:tr>
    </w:tbl>
    <w:p w:rsidR="000B583A" w:rsidRPr="000B583A" w:rsidRDefault="000B583A" w:rsidP="000B583A">
      <w:pPr>
        <w:rPr>
          <w:szCs w:val="24"/>
        </w:rPr>
      </w:pPr>
    </w:p>
    <w:p w:rsidR="000B583A" w:rsidRPr="000B583A" w:rsidRDefault="000B583A" w:rsidP="000B583A">
      <w:pPr>
        <w:outlineLvl w:val="1"/>
        <w:rPr>
          <w:b/>
          <w:szCs w:val="24"/>
          <w:u w:val="single"/>
        </w:rPr>
      </w:pPr>
      <w:r w:rsidRPr="000B583A">
        <w:rPr>
          <w:b/>
          <w:szCs w:val="24"/>
          <w:u w:val="single"/>
        </w:rPr>
        <w:t>Be</w:t>
      </w:r>
      <w:r w:rsidRPr="000B583A">
        <w:rPr>
          <w:b/>
          <w:szCs w:val="24"/>
        </w:rPr>
        <w:t>g</w:t>
      </w:r>
      <w:r w:rsidRPr="000B583A">
        <w:rPr>
          <w:b/>
          <w:szCs w:val="24"/>
          <w:u w:val="single"/>
        </w:rPr>
        <w:t>ründun</w:t>
      </w:r>
      <w:r w:rsidRPr="000B583A">
        <w:rPr>
          <w:b/>
          <w:szCs w:val="24"/>
        </w:rPr>
        <w:t>g</w:t>
      </w:r>
      <w:r w:rsidRPr="000B583A">
        <w:rPr>
          <w:b/>
          <w:szCs w:val="24"/>
          <w:u w:val="single"/>
        </w:rPr>
        <w:t>:</w:t>
      </w:r>
    </w:p>
    <w:p w:rsidR="000B583A" w:rsidRPr="000B583A" w:rsidRDefault="000B583A" w:rsidP="000B583A">
      <w:pPr>
        <w:rPr>
          <w:szCs w:val="24"/>
        </w:rPr>
      </w:pPr>
    </w:p>
    <w:p w:rsidR="00711461" w:rsidRDefault="000B583A" w:rsidP="00694161">
      <w:r>
        <w:t>I</w:t>
      </w:r>
      <w:r w:rsidR="00711461" w:rsidRPr="00A60B65">
        <w:t xml:space="preserve">n den Haushaltsplanberatungen </w:t>
      </w:r>
      <w:r w:rsidR="00711461">
        <w:t>2014/2015</w:t>
      </w:r>
      <w:r w:rsidR="00711461" w:rsidRPr="00A60B65">
        <w:t xml:space="preserve"> wurde </w:t>
      </w:r>
      <w:r w:rsidR="00711461" w:rsidRPr="00FD29DD">
        <w:t xml:space="preserve">beim Amt für Liegenschaften und Wohnen </w:t>
      </w:r>
      <w:r w:rsidR="001C084F">
        <w:t>1,0</w:t>
      </w:r>
      <w:r w:rsidR="00711461" w:rsidRPr="00A60B65">
        <w:t xml:space="preserve"> Planstelle </w:t>
      </w:r>
      <w:r w:rsidR="00711461">
        <w:t xml:space="preserve">für die </w:t>
      </w:r>
      <w:r w:rsidR="00711461" w:rsidRPr="00A60B65">
        <w:t xml:space="preserve">Durchführung von Investoren- und kombinierten Investoren-/Architektenwettbewerben zum Verkauf von Bauplätzen in der Innenentwicklung </w:t>
      </w:r>
      <w:r w:rsidR="00711461" w:rsidRPr="00FD29DD">
        <w:t xml:space="preserve">bewilligt (Anlage 6 zur </w:t>
      </w:r>
      <w:proofErr w:type="spellStart"/>
      <w:r w:rsidR="00711461" w:rsidRPr="00FD29DD">
        <w:t>GRDrs</w:t>
      </w:r>
      <w:proofErr w:type="spellEnd"/>
      <w:r w:rsidR="00711461" w:rsidRPr="00FD29DD">
        <w:t xml:space="preserve"> 858/2013)</w:t>
      </w:r>
      <w:r w:rsidR="00711461">
        <w:t xml:space="preserve">. Die Stelle ist </w:t>
      </w:r>
      <w:r w:rsidR="00711461" w:rsidRPr="00A60B65">
        <w:t xml:space="preserve">befristet bis </w:t>
      </w:r>
      <w:r w:rsidR="00711461">
        <w:t>31.12.2019.</w:t>
      </w:r>
      <w:r w:rsidR="004F4F24">
        <w:t xml:space="preserve"> Die Aufgaben sind jedoch auch über den 31.12.2019 hinaus noch gegeben. </w:t>
      </w:r>
    </w:p>
    <w:p w:rsidR="00A60B65" w:rsidRDefault="00A60B65" w:rsidP="00A60B65"/>
    <w:p w:rsidR="00413ABB" w:rsidRDefault="00413ABB" w:rsidP="00413ABB">
      <w:r>
        <w:t xml:space="preserve">Nach wie vor stehen der Stadt </w:t>
      </w:r>
      <w:r w:rsidRPr="00824923">
        <w:t xml:space="preserve">zur Neubebauung </w:t>
      </w:r>
      <w:r w:rsidR="009D1E6A">
        <w:t>überwiegend</w:t>
      </w:r>
      <w:r w:rsidRPr="00A60B65">
        <w:t xml:space="preserve"> Flächen in der Innenentwicklung</w:t>
      </w:r>
      <w:r w:rsidRPr="00FD29DD">
        <w:t xml:space="preserve"> zur Verfügung</w:t>
      </w:r>
      <w:r>
        <w:t>. Nach</w:t>
      </w:r>
      <w:r w:rsidRPr="00A60B65">
        <w:t xml:space="preserve"> Aufgabe der seitherigen Nutzung </w:t>
      </w:r>
      <w:r>
        <w:t xml:space="preserve">sind diese Areale freizumachen (i.d.R. umfangreiche Gebäudeabbrüche und Leitungsverlegungen/-beseitigungen) und die städtischen </w:t>
      </w:r>
      <w:r w:rsidRPr="00A160A8">
        <w:t xml:space="preserve">Vorgaben bezüglich der künftigen Nutzungen dieser Gebiete </w:t>
      </w:r>
      <w:r>
        <w:t>sind zu entwickeln und mit den Gremien abzustimmen</w:t>
      </w:r>
      <w:r w:rsidRPr="00A160A8">
        <w:t xml:space="preserve">. </w:t>
      </w:r>
      <w:r w:rsidRPr="004167EA">
        <w:t>Zum Teil ist es erforderlich</w:t>
      </w:r>
      <w:r>
        <w:t>,</w:t>
      </w:r>
      <w:r w:rsidRPr="004167EA">
        <w:t xml:space="preserve"> den Wettbewerbsverfahren eine öffentliche Bürgerbeteiligung vorzuschalten</w:t>
      </w:r>
      <w:r>
        <w:t>,</w:t>
      </w:r>
      <w:r w:rsidRPr="004167EA">
        <w:t xml:space="preserve"> um den öffentlichen Bedarf in diesen Gebieten abzufragen und eine Akzeptanz in der Bürgerschaft zu schaffen.</w:t>
      </w:r>
    </w:p>
    <w:p w:rsidR="00A60B65" w:rsidRDefault="00A60B65" w:rsidP="00A60B65"/>
    <w:p w:rsidR="00C81F1F" w:rsidRDefault="00627E17" w:rsidP="00627E17">
      <w:r>
        <w:t>Beim</w:t>
      </w:r>
      <w:r w:rsidRPr="00D461EC">
        <w:t xml:space="preserve"> Olga-Areal in Stuttgart-West </w:t>
      </w:r>
      <w:r>
        <w:t>lagen zwischen Projektstart</w:t>
      </w:r>
      <w:r w:rsidRPr="00D461EC">
        <w:t xml:space="preserve"> </w:t>
      </w:r>
      <w:r>
        <w:t xml:space="preserve">und Abschluss der Grundstückskaufverträge ca. 2,5 Jahre. Die </w:t>
      </w:r>
      <w:r w:rsidRPr="00A160A8">
        <w:t xml:space="preserve">Vermarktung des </w:t>
      </w:r>
      <w:r>
        <w:t xml:space="preserve">Areals am Wiener Platz (ehem. </w:t>
      </w:r>
      <w:r w:rsidRPr="00A160A8">
        <w:t>Schoch-Areal</w:t>
      </w:r>
      <w:r>
        <w:t>)</w:t>
      </w:r>
      <w:r w:rsidRPr="00A160A8">
        <w:t xml:space="preserve"> in Stuttgart-Feuerbach </w:t>
      </w:r>
      <w:r>
        <w:t>begann nach Abschluss der Altlastenentsorgung Ende 2017; über die Grundstücksvergaben wurde im Laufe des Jahres 2018 entschieden.</w:t>
      </w:r>
      <w:r w:rsidR="00C81F1F">
        <w:t xml:space="preserve"> </w:t>
      </w:r>
    </w:p>
    <w:p w:rsidR="00C81F1F" w:rsidRDefault="00C81F1F" w:rsidP="00627E17"/>
    <w:p w:rsidR="00627E17" w:rsidRDefault="00627E17" w:rsidP="00627E17">
      <w:r>
        <w:t xml:space="preserve">Es </w:t>
      </w:r>
      <w:r w:rsidRPr="00B52A17">
        <w:t xml:space="preserve">sind bereits weitere Gebiete in der Vermarktung </w:t>
      </w:r>
      <w:r>
        <w:t>um die avisierten Wohnungszahlen im geförderten Wohnungsbau zu realisieren (</w:t>
      </w:r>
      <w:r w:rsidRPr="001C1DF5">
        <w:t xml:space="preserve">vgl. auch </w:t>
      </w:r>
      <w:proofErr w:type="spellStart"/>
      <w:r w:rsidRPr="001C1DF5">
        <w:t>GRDrs</w:t>
      </w:r>
      <w:proofErr w:type="spellEnd"/>
      <w:r w:rsidRPr="001C1DF5">
        <w:t xml:space="preserve"> 906/2015)</w:t>
      </w:r>
      <w:r>
        <w:t>:</w:t>
      </w:r>
    </w:p>
    <w:p w:rsidR="00627E17" w:rsidRDefault="00627E17" w:rsidP="00627E17"/>
    <w:p w:rsidR="00627E17" w:rsidRDefault="00627E17" w:rsidP="00627E17">
      <w:pPr>
        <w:pStyle w:val="Listenabsatz"/>
        <w:numPr>
          <w:ilvl w:val="0"/>
          <w:numId w:val="6"/>
        </w:numPr>
      </w:pPr>
      <w:r>
        <w:t xml:space="preserve">das Areal am Wiener Platz in Stuttgart-Feuerbach (ca. </w:t>
      </w:r>
      <w:r w:rsidRPr="00EC694E">
        <w:t>125 WE</w:t>
      </w:r>
      <w:r>
        <w:t xml:space="preserve">) </w:t>
      </w:r>
    </w:p>
    <w:p w:rsidR="00627E17" w:rsidRDefault="00627E17" w:rsidP="00627E17">
      <w:pPr>
        <w:pStyle w:val="Listenabsatz"/>
        <w:numPr>
          <w:ilvl w:val="0"/>
          <w:numId w:val="6"/>
        </w:numPr>
      </w:pPr>
      <w:r>
        <w:t>die Rote Wand in Stuttgart-Nord/</w:t>
      </w:r>
      <w:proofErr w:type="spellStart"/>
      <w:r>
        <w:t>Killesberg</w:t>
      </w:r>
      <w:proofErr w:type="spellEnd"/>
      <w:r>
        <w:t xml:space="preserve"> (ca</w:t>
      </w:r>
      <w:r w:rsidRPr="00EC694E">
        <w:t xml:space="preserve">. </w:t>
      </w:r>
      <w:r>
        <w:t>118</w:t>
      </w:r>
      <w:r w:rsidRPr="00EC694E">
        <w:t xml:space="preserve"> WE</w:t>
      </w:r>
      <w:r>
        <w:t xml:space="preserve">) </w:t>
      </w:r>
    </w:p>
    <w:p w:rsidR="00627E17" w:rsidRPr="003C7120" w:rsidRDefault="00627E17" w:rsidP="00627E17">
      <w:pPr>
        <w:pStyle w:val="Listenabsatz"/>
        <w:numPr>
          <w:ilvl w:val="0"/>
          <w:numId w:val="6"/>
        </w:numPr>
      </w:pPr>
      <w:r>
        <w:t xml:space="preserve">das Bürgerhospital/AWS-Gelände </w:t>
      </w:r>
      <w:proofErr w:type="spellStart"/>
      <w:r>
        <w:t>Türlenstraße</w:t>
      </w:r>
      <w:proofErr w:type="spellEnd"/>
      <w:r>
        <w:t xml:space="preserve"> in Stuttgart-Nord (</w:t>
      </w:r>
      <w:r w:rsidRPr="00EC694E">
        <w:t>ca. 600 WE)</w:t>
      </w:r>
    </w:p>
    <w:p w:rsidR="00627E17" w:rsidRDefault="00627E17" w:rsidP="00627E17">
      <w:pPr>
        <w:pStyle w:val="Listenabsatz"/>
        <w:numPr>
          <w:ilvl w:val="0"/>
          <w:numId w:val="6"/>
        </w:numPr>
      </w:pPr>
      <w:r>
        <w:t>die Hauswirtschaftliche Schule Hackstraße in Stuttgart-</w:t>
      </w:r>
      <w:r w:rsidRPr="00EC694E">
        <w:t>Ost (ca. 40 WE)</w:t>
      </w:r>
      <w:r>
        <w:t>.</w:t>
      </w:r>
    </w:p>
    <w:p w:rsidR="00E63E2B" w:rsidRDefault="00E63E2B" w:rsidP="00A20E9F"/>
    <w:p w:rsidR="00A20E9F" w:rsidRPr="00376BB8" w:rsidRDefault="00A20E9F" w:rsidP="00A20E9F">
      <w:r>
        <w:lastRenderedPageBreak/>
        <w:t>Neue Bauflächen sind im Bereich Schafhaus in Stuttgart-Mühlhausen und im S21-Gebiet Rosenstein geplant.</w:t>
      </w:r>
    </w:p>
    <w:p w:rsidR="00627E17" w:rsidRPr="00A160A8" w:rsidRDefault="00627E17" w:rsidP="00627E17"/>
    <w:p w:rsidR="00627E17" w:rsidRDefault="00627E17" w:rsidP="00627E17">
      <w:r>
        <w:t xml:space="preserve">Durch die Größe der Areale sind vielfältige Nutzungen (und damit auch Beteiligte) unterzubringen, was bei der Vergabe der Bauflächen regelmäßig zu rechtlich komplizierten Konstrukten und Kaufverträgen führt. So sind </w:t>
      </w:r>
      <w:r w:rsidRPr="00B52A17">
        <w:t>Kitas</w:t>
      </w:r>
      <w:r>
        <w:t xml:space="preserve">, </w:t>
      </w:r>
      <w:r w:rsidRPr="00B52A17">
        <w:t>Gemeinwesen</w:t>
      </w:r>
      <w:r w:rsidR="00E277C8">
        <w:t xml:space="preserve"> Z</w:t>
      </w:r>
      <w:r w:rsidRPr="00B52A17">
        <w:t>entren</w:t>
      </w:r>
      <w:r>
        <w:t xml:space="preserve"> und ähnliche gesellschaftliche Einrichtungen sowie die für das Gebiet notwendige</w:t>
      </w:r>
      <w:r w:rsidR="00430089">
        <w:t xml:space="preserve"> Infrastruktur </w:t>
      </w:r>
      <w:r>
        <w:t>unterzubringen</w:t>
      </w:r>
      <w:r w:rsidRPr="00B52A17">
        <w:t xml:space="preserve">, </w:t>
      </w:r>
      <w:r>
        <w:t>gebietsbezogene Mobilitäts- und Energiekonzepte zu berücksichtigen, Flächen für</w:t>
      </w:r>
      <w:r w:rsidRPr="00B52A17">
        <w:t xml:space="preserve"> Baugemeinschaften </w:t>
      </w:r>
      <w:r>
        <w:t xml:space="preserve">darzustellen sowie die vom Gemeinderat beschlossenen Anteile an </w:t>
      </w:r>
      <w:r w:rsidRPr="00B52A17">
        <w:t>geförderte</w:t>
      </w:r>
      <w:r>
        <w:t>m</w:t>
      </w:r>
      <w:r w:rsidRPr="00B52A17">
        <w:t xml:space="preserve"> Wohnungsbau</w:t>
      </w:r>
      <w:r>
        <w:t xml:space="preserve"> umzusetzen.</w:t>
      </w:r>
    </w:p>
    <w:p w:rsidR="00627E17" w:rsidRDefault="00627E17" w:rsidP="00627E17"/>
    <w:p w:rsidR="00627E17" w:rsidRDefault="00627E17" w:rsidP="00627E17">
      <w:r w:rsidRPr="00FE2056">
        <w:t xml:space="preserve">Die Vorbereitung und Durchführung dieser Verfahren, insbesondere aber auch die Betreuung </w:t>
      </w:r>
      <w:r>
        <w:t xml:space="preserve">der Erwerber/Erbbauberechtigten </w:t>
      </w:r>
      <w:r w:rsidRPr="00FE2056">
        <w:t>nach Grundstücksvergabe bis hin zur Baurealisierung</w:t>
      </w:r>
      <w:r>
        <w:t>,</w:t>
      </w:r>
      <w:r w:rsidRPr="00FE2056">
        <w:t xml:space="preserve"> </w:t>
      </w:r>
      <w:r>
        <w:t xml:space="preserve">ist </w:t>
      </w:r>
      <w:r w:rsidRPr="00FE2056">
        <w:t xml:space="preserve">sehr </w:t>
      </w:r>
      <w:r>
        <w:t xml:space="preserve">komplex und </w:t>
      </w:r>
      <w:r w:rsidRPr="00FE2056">
        <w:t xml:space="preserve">zeitaufwändig. </w:t>
      </w:r>
      <w:r>
        <w:t xml:space="preserve">Verbindliche </w:t>
      </w:r>
      <w:r w:rsidRPr="00FE2056">
        <w:t xml:space="preserve">Grundlagenvereinbarungen, die die Beziehungen der </w:t>
      </w:r>
      <w:r>
        <w:t>künftigen</w:t>
      </w:r>
      <w:r w:rsidRPr="00FE2056">
        <w:t xml:space="preserve"> Grundstückseigentümer untereinander </w:t>
      </w:r>
      <w:r>
        <w:t xml:space="preserve">sowohl </w:t>
      </w:r>
      <w:r w:rsidRPr="00FE2056">
        <w:t xml:space="preserve">im Gesamtgebiet </w:t>
      </w:r>
      <w:r>
        <w:t>als auch</w:t>
      </w:r>
      <w:r w:rsidRPr="00FE2056">
        <w:t xml:space="preserve"> in den </w:t>
      </w:r>
      <w:r>
        <w:t xml:space="preserve">einzelnen </w:t>
      </w:r>
      <w:r w:rsidRPr="00FE2056">
        <w:t>Baublöcken regeln, sind zu erarbeiten</w:t>
      </w:r>
      <w:r>
        <w:t xml:space="preserve"> und zu koordinieren</w:t>
      </w:r>
      <w:r w:rsidR="00E277C8">
        <w:t>.</w:t>
      </w:r>
    </w:p>
    <w:p w:rsidR="00627E17" w:rsidRDefault="00627E17" w:rsidP="00627E17"/>
    <w:p w:rsidR="00711461" w:rsidRDefault="00627E17" w:rsidP="00627E17">
      <w:r>
        <w:t>Auf eine e</w:t>
      </w:r>
      <w:r w:rsidRPr="005F7AA4">
        <w:t>xterne Begleitung</w:t>
      </w:r>
      <w:r>
        <w:t xml:space="preserve"> der Verfahren und für die Projektsteuerung, wie sie noch beim Olga-Areal der Fall war (mit Kosten von mehreren 100.000 €), kann durch die</w:t>
      </w:r>
      <w:r w:rsidRPr="005F7AA4">
        <w:t xml:space="preserve"> zentrale Bearbeitung </w:t>
      </w:r>
      <w:r>
        <w:t>verzichtet werden</w:t>
      </w:r>
      <w:r w:rsidRPr="005F7AA4">
        <w:t xml:space="preserve">. </w:t>
      </w:r>
      <w:r>
        <w:t>Durch die Projektsteuerung bei Amt 23 werden ferner die verschiedensten Anforderungen von Investoren, Fachämtern und sonstigen Beteiligten schnell aufeinander abgestimmt sowie zeit- und kostengünstig umgesetzt.</w:t>
      </w:r>
    </w:p>
    <w:p w:rsidR="00A60B65" w:rsidRDefault="00A60B65" w:rsidP="00A60B65"/>
    <w:p w:rsidR="009D377C" w:rsidRPr="009D377C" w:rsidRDefault="00E277C8" w:rsidP="00A60B65">
      <w:r>
        <w:t>Bei Wegfall der Stelle könnten d</w:t>
      </w:r>
      <w:r w:rsidR="00413ABB" w:rsidRPr="009D377C">
        <w:t xml:space="preserve">ie </w:t>
      </w:r>
      <w:r w:rsidR="009D377C" w:rsidRPr="009D377C">
        <w:t xml:space="preserve">anstehenden </w:t>
      </w:r>
      <w:r w:rsidR="00413ABB" w:rsidRPr="009D377C">
        <w:t xml:space="preserve">Aufgaben </w:t>
      </w:r>
      <w:r w:rsidR="009D377C" w:rsidRPr="009D377C">
        <w:t xml:space="preserve">und </w:t>
      </w:r>
      <w:r w:rsidR="009D377C">
        <w:t>neue</w:t>
      </w:r>
      <w:r>
        <w:t>n</w:t>
      </w:r>
      <w:r w:rsidR="00A20E9F">
        <w:t xml:space="preserve"> Wettbewerbe </w:t>
      </w:r>
      <w:r w:rsidR="009D377C" w:rsidRPr="009D377C">
        <w:t>dann nur im Rahmen der Kapazitäten der Abteilung Grundstücksverkehr mit dem vorhandenen Personal erledigt werden und wären damit zum Teil größeren zeitlichen Verzögerungen ausgesetzt.</w:t>
      </w:r>
      <w:r w:rsidR="00A20E9F">
        <w:t xml:space="preserve"> </w:t>
      </w:r>
      <w:r w:rsidR="009D377C" w:rsidRPr="009D377C">
        <w:t>Die Grundstücksgeschäfte könn</w:t>
      </w:r>
      <w:r>
        <w:t>t</w:t>
      </w:r>
      <w:r w:rsidR="009D377C" w:rsidRPr="009D377C">
        <w:t xml:space="preserve">en </w:t>
      </w:r>
      <w:r>
        <w:t>nur mit Verzögerung</w:t>
      </w:r>
      <w:r w:rsidR="009D377C" w:rsidRPr="009D377C">
        <w:t xml:space="preserve"> abgewickelt werden, der sich daraus ergebende Zinsverlust wäre nicht unerheblich.</w:t>
      </w:r>
    </w:p>
    <w:p w:rsidR="009D377C" w:rsidRPr="009D377C" w:rsidRDefault="009D377C" w:rsidP="00A60B65"/>
    <w:p w:rsidR="00A60B65" w:rsidRPr="00421180" w:rsidRDefault="00A60B65" w:rsidP="00A60B65">
      <w:r w:rsidRPr="009D377C">
        <w:t>Hinzu kommt, dass wichtige Vorhaben erst später gestartet werden könn</w:t>
      </w:r>
      <w:r w:rsidR="00E277C8">
        <w:t>t</w:t>
      </w:r>
      <w:r w:rsidRPr="009D377C">
        <w:t xml:space="preserve">en und sich dadurch der Städtebau </w:t>
      </w:r>
      <w:r w:rsidR="009D377C" w:rsidRPr="009D377C">
        <w:t xml:space="preserve">und somit die Schaffung von dringend benötigten preisgünstigen Mietwohnungen </w:t>
      </w:r>
      <w:r w:rsidRPr="009D377C">
        <w:t>entsprechend verzöger</w:t>
      </w:r>
      <w:r w:rsidR="00E277C8">
        <w:t>n würde</w:t>
      </w:r>
      <w:r w:rsidRPr="009D377C">
        <w:t xml:space="preserve">. </w:t>
      </w:r>
      <w:r w:rsidR="00E277C8">
        <w:t>B</w:t>
      </w:r>
      <w:r w:rsidR="00E63E2B" w:rsidRPr="00421180">
        <w:t>ereits freigemachte Gebäude müssten dann unterhalten und gesichert oder aber abgebrochen und die Grundstücke danach wieder verfüllt werden, was ebenfalls Personal binde</w:t>
      </w:r>
      <w:r w:rsidR="00E277C8">
        <w:t>n</w:t>
      </w:r>
      <w:r w:rsidR="00E63E2B" w:rsidRPr="00421180">
        <w:t xml:space="preserve"> und Kosten verursach</w:t>
      </w:r>
      <w:r w:rsidR="00E277C8">
        <w:t>en würde</w:t>
      </w:r>
      <w:r w:rsidR="00E63E2B" w:rsidRPr="00421180">
        <w:t>.</w:t>
      </w:r>
    </w:p>
    <w:p w:rsidR="00430089" w:rsidRPr="009D377C" w:rsidRDefault="00430089" w:rsidP="00A60B65">
      <w:bookmarkStart w:id="0" w:name="_GoBack"/>
      <w:bookmarkEnd w:id="0"/>
    </w:p>
    <w:sectPr w:rsidR="00430089" w:rsidRPr="009D377C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B65" w:rsidRDefault="00A60B65">
      <w:r>
        <w:separator/>
      </w:r>
    </w:p>
  </w:endnote>
  <w:endnote w:type="continuationSeparator" w:id="0">
    <w:p w:rsidR="00A60B65" w:rsidRDefault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B65" w:rsidRDefault="00A60B65">
      <w:r>
        <w:separator/>
      </w:r>
    </w:p>
  </w:footnote>
  <w:footnote w:type="continuationSeparator" w:id="0">
    <w:p w:rsidR="00A60B65" w:rsidRDefault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65" w:rsidRDefault="00A60B65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E487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A60B65" w:rsidRDefault="00A60B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52235C74"/>
    <w:multiLevelType w:val="hybridMultilevel"/>
    <w:tmpl w:val="19726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915BF"/>
    <w:rsid w:val="000940FE"/>
    <w:rsid w:val="000A1146"/>
    <w:rsid w:val="000B583A"/>
    <w:rsid w:val="000D2E9F"/>
    <w:rsid w:val="001058DD"/>
    <w:rsid w:val="00113CF4"/>
    <w:rsid w:val="00151DC3"/>
    <w:rsid w:val="00165C0D"/>
    <w:rsid w:val="00181857"/>
    <w:rsid w:val="001C084F"/>
    <w:rsid w:val="001F5D9F"/>
    <w:rsid w:val="002058C2"/>
    <w:rsid w:val="00213C7A"/>
    <w:rsid w:val="00245EF8"/>
    <w:rsid w:val="002812E4"/>
    <w:rsid w:val="002924CB"/>
    <w:rsid w:val="002B6783"/>
    <w:rsid w:val="002C2BCF"/>
    <w:rsid w:val="003237BB"/>
    <w:rsid w:val="003D5196"/>
    <w:rsid w:val="003D7B0B"/>
    <w:rsid w:val="00413ABB"/>
    <w:rsid w:val="00421180"/>
    <w:rsid w:val="00430089"/>
    <w:rsid w:val="00453F67"/>
    <w:rsid w:val="004920E9"/>
    <w:rsid w:val="004B6796"/>
    <w:rsid w:val="004D7F89"/>
    <w:rsid w:val="004F4F24"/>
    <w:rsid w:val="005E487F"/>
    <w:rsid w:val="005E7511"/>
    <w:rsid w:val="005E7A74"/>
    <w:rsid w:val="00627E17"/>
    <w:rsid w:val="00694161"/>
    <w:rsid w:val="006E0575"/>
    <w:rsid w:val="006E3913"/>
    <w:rsid w:val="00711461"/>
    <w:rsid w:val="00746A71"/>
    <w:rsid w:val="0075602D"/>
    <w:rsid w:val="00767369"/>
    <w:rsid w:val="00787D2F"/>
    <w:rsid w:val="007B5FE2"/>
    <w:rsid w:val="007D10DD"/>
    <w:rsid w:val="0083052F"/>
    <w:rsid w:val="00833A01"/>
    <w:rsid w:val="00856C1B"/>
    <w:rsid w:val="00884D6C"/>
    <w:rsid w:val="00891246"/>
    <w:rsid w:val="00893E55"/>
    <w:rsid w:val="00911350"/>
    <w:rsid w:val="009B0FBE"/>
    <w:rsid w:val="009D1E6A"/>
    <w:rsid w:val="009D377C"/>
    <w:rsid w:val="00A20E9F"/>
    <w:rsid w:val="00A34898"/>
    <w:rsid w:val="00A60B65"/>
    <w:rsid w:val="00A77F1E"/>
    <w:rsid w:val="00B04290"/>
    <w:rsid w:val="00B12A52"/>
    <w:rsid w:val="00B238D8"/>
    <w:rsid w:val="00B42B93"/>
    <w:rsid w:val="00B503DD"/>
    <w:rsid w:val="00B76A76"/>
    <w:rsid w:val="00B80DEF"/>
    <w:rsid w:val="00B8785A"/>
    <w:rsid w:val="00C15C88"/>
    <w:rsid w:val="00C30E2D"/>
    <w:rsid w:val="00C42332"/>
    <w:rsid w:val="00C448D3"/>
    <w:rsid w:val="00C81F1F"/>
    <w:rsid w:val="00CD0B27"/>
    <w:rsid w:val="00D24277"/>
    <w:rsid w:val="00DA24CD"/>
    <w:rsid w:val="00DA701E"/>
    <w:rsid w:val="00DE32BA"/>
    <w:rsid w:val="00DF268B"/>
    <w:rsid w:val="00DF3470"/>
    <w:rsid w:val="00E1162F"/>
    <w:rsid w:val="00E11D5F"/>
    <w:rsid w:val="00E277C8"/>
    <w:rsid w:val="00E63E2B"/>
    <w:rsid w:val="00EB38FF"/>
    <w:rsid w:val="00F00C79"/>
    <w:rsid w:val="00F132FA"/>
    <w:rsid w:val="00F27657"/>
    <w:rsid w:val="00F27BB8"/>
    <w:rsid w:val="00F97D37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59F93"/>
  <w15:docId w15:val="{8E250CDF-5154-4334-A73A-C2C70E56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2812E4"/>
    <w:pPr>
      <w:keepNext/>
      <w:spacing w:before="480"/>
      <w:ind w:left="284" w:hanging="284"/>
      <w:outlineLvl w:val="0"/>
    </w:pPr>
    <w:rPr>
      <w:b/>
      <w:kern w:val="24"/>
      <w:u w:val="single"/>
    </w:rPr>
  </w:style>
  <w:style w:type="paragraph" w:styleId="berschrift2">
    <w:name w:val="heading 2"/>
    <w:basedOn w:val="Standard"/>
    <w:next w:val="Standard"/>
    <w:qFormat/>
    <w:rsid w:val="002812E4"/>
    <w:pPr>
      <w:keepNext/>
      <w:spacing w:before="240"/>
      <w:ind w:left="482" w:hanging="482"/>
      <w:outlineLvl w:val="1"/>
    </w:pPr>
    <w:rPr>
      <w:b/>
      <w:kern w:val="24"/>
    </w:rPr>
  </w:style>
  <w:style w:type="paragraph" w:styleId="berschrift3">
    <w:name w:val="heading 3"/>
    <w:basedOn w:val="Standard"/>
    <w:next w:val="Standard"/>
    <w:qFormat/>
    <w:rsid w:val="00B12A52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B12A52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B12A52"/>
    <w:rPr>
      <w:sz w:val="16"/>
    </w:rPr>
  </w:style>
  <w:style w:type="paragraph" w:styleId="Kommentartext">
    <w:name w:val="annotation text"/>
    <w:basedOn w:val="Standard"/>
    <w:semiHidden/>
    <w:rsid w:val="00B12A52"/>
    <w:rPr>
      <w:sz w:val="20"/>
    </w:rPr>
  </w:style>
  <w:style w:type="paragraph" w:styleId="Fuzeile">
    <w:name w:val="footer"/>
    <w:basedOn w:val="Standard"/>
    <w:rsid w:val="00B12A52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B12A52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627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D04855D5.dotm</Template>
  <TotalTime>0</TotalTime>
  <Pages>2</Pages>
  <Words>559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Wegfall von Stellenvermerken zum Stellenplan</vt:lpstr>
    </vt:vector>
  </TitlesOfParts>
  <Company>LHS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Wegfall von Stellenvermerken zum Stellenplan</dc:title>
  <dc:subject>Musterformular für das Stellenplanverfahren 2012/2013</dc:subject>
  <dc:creator>10-3</dc:creator>
  <cp:lastModifiedBy>Hauser, Petra</cp:lastModifiedBy>
  <cp:revision>4</cp:revision>
  <cp:lastPrinted>2019-09-19T09:21:00Z</cp:lastPrinted>
  <dcterms:created xsi:type="dcterms:W3CDTF">2019-09-03T07:30:00Z</dcterms:created>
  <dcterms:modified xsi:type="dcterms:W3CDTF">2019-09-19T09:23:00Z</dcterms:modified>
</cp:coreProperties>
</file>