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BD" w:rsidRDefault="003C14BD">
      <w:pPr>
        <w:suppressAutoHyphens w:val="0"/>
        <w:autoSpaceDE w:val="0"/>
        <w:ind w:left="6381" w:firstLine="709"/>
        <w:textAlignment w:val="auto"/>
      </w:pPr>
    </w:p>
    <w:p w:rsidR="001F0592" w:rsidRPr="006E0575" w:rsidRDefault="001F0592" w:rsidP="001F0592">
      <w:pPr>
        <w:tabs>
          <w:tab w:val="left" w:pos="5812"/>
        </w:tabs>
        <w:jc w:val="right"/>
      </w:pPr>
      <w:r w:rsidRPr="006E0575">
        <w:t xml:space="preserve">Anlage </w:t>
      </w:r>
      <w:r w:rsidR="00607ED8">
        <w:t>1</w:t>
      </w:r>
      <w:r w:rsidRPr="006E0575">
        <w:t xml:space="preserve"> zur GRDrs </w:t>
      </w:r>
      <w:r w:rsidR="00607ED8">
        <w:t>833</w:t>
      </w:r>
      <w:r>
        <w:t>/2017</w:t>
      </w:r>
    </w:p>
    <w:p w:rsidR="001F0592" w:rsidRPr="006E0575" w:rsidRDefault="001F0592" w:rsidP="001F0592"/>
    <w:p w:rsidR="001F0592" w:rsidRPr="006E0575" w:rsidRDefault="001F0592" w:rsidP="001F0592"/>
    <w:p w:rsidR="001F0592" w:rsidRDefault="001F0592" w:rsidP="001F0592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1F0592" w:rsidRPr="00341F1E" w:rsidRDefault="001F0592" w:rsidP="001F0592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Pr="00341F1E">
        <w:rPr>
          <w:b/>
          <w:sz w:val="36"/>
          <w:u w:val="single"/>
        </w:rPr>
        <w:t xml:space="preserve"> Stellenplan 201</w:t>
      </w:r>
      <w:r>
        <w:rPr>
          <w:b/>
          <w:sz w:val="36"/>
          <w:u w:val="single"/>
        </w:rPr>
        <w:t>8</w:t>
      </w:r>
    </w:p>
    <w:p w:rsidR="003C14BD" w:rsidRDefault="003C14BD">
      <w:pPr>
        <w:rPr>
          <w:rFonts w:cs="Arial"/>
          <w:sz w:val="22"/>
          <w:szCs w:val="22"/>
        </w:rPr>
      </w:pPr>
    </w:p>
    <w:p w:rsidR="00607ED8" w:rsidRDefault="00607ED8">
      <w:pPr>
        <w:rPr>
          <w:rFonts w:cs="Arial"/>
          <w:sz w:val="22"/>
          <w:szCs w:val="22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851"/>
        <w:gridCol w:w="1843"/>
        <w:gridCol w:w="850"/>
        <w:gridCol w:w="992"/>
        <w:gridCol w:w="1421"/>
        <w:gridCol w:w="85"/>
      </w:tblGrid>
      <w:tr w:rsidR="00607ED8" w:rsidRPr="006E0575" w:rsidTr="00607ED8">
        <w:trPr>
          <w:tblHeader/>
        </w:trPr>
        <w:tc>
          <w:tcPr>
            <w:tcW w:w="1560" w:type="dxa"/>
            <w:shd w:val="pct12" w:color="auto" w:fill="FFFFFF"/>
            <w:vAlign w:val="center"/>
          </w:tcPr>
          <w:p w:rsidR="00607ED8" w:rsidRPr="006E0575" w:rsidRDefault="00607ED8" w:rsidP="00854679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 xml:space="preserve"> Kostenstelle</w:t>
            </w:r>
          </w:p>
        </w:tc>
        <w:tc>
          <w:tcPr>
            <w:tcW w:w="1984" w:type="dxa"/>
            <w:shd w:val="pct12" w:color="auto" w:fill="FFFFFF"/>
            <w:vAlign w:val="center"/>
          </w:tcPr>
          <w:p w:rsidR="00607ED8" w:rsidRPr="006E0575" w:rsidRDefault="00607ED8" w:rsidP="00854679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  <w:vAlign w:val="center"/>
          </w:tcPr>
          <w:p w:rsidR="00607ED8" w:rsidRDefault="00607ED8" w:rsidP="00854679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BesGr.</w:t>
            </w:r>
          </w:p>
          <w:p w:rsidR="00607ED8" w:rsidRDefault="00607ED8" w:rsidP="00854679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607ED8" w:rsidRPr="006E0575" w:rsidRDefault="00607ED8" w:rsidP="00854679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843" w:type="dxa"/>
            <w:shd w:val="pct12" w:color="auto" w:fill="FFFFFF"/>
            <w:vAlign w:val="center"/>
          </w:tcPr>
          <w:p w:rsidR="00607ED8" w:rsidRPr="006E0575" w:rsidRDefault="00607ED8" w:rsidP="00854679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607ED8" w:rsidRPr="006E0575" w:rsidRDefault="00607ED8" w:rsidP="00854679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607ED8" w:rsidRPr="006E0575" w:rsidRDefault="00607ED8" w:rsidP="00854679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502" w:type="dxa"/>
            <w:gridSpan w:val="2"/>
            <w:shd w:val="pct12" w:color="auto" w:fill="FFFFFF"/>
            <w:vAlign w:val="center"/>
          </w:tcPr>
          <w:p w:rsidR="00607ED8" w:rsidRPr="006E0575" w:rsidRDefault="00607ED8" w:rsidP="00854679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kostenwirksamer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 in €</w:t>
            </w:r>
          </w:p>
        </w:tc>
      </w:tr>
      <w:tr w:rsidR="003C14BD" w:rsidRPr="00807435" w:rsidTr="00607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85" w:type="dxa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14BD" w:rsidRDefault="003C14BD">
            <w:pPr>
              <w:rPr>
                <w:rFonts w:cs="Arial"/>
                <w:sz w:val="22"/>
                <w:szCs w:val="22"/>
              </w:rPr>
            </w:pPr>
          </w:p>
          <w:p w:rsidR="00BD72C5" w:rsidRPr="00807435" w:rsidRDefault="00BD72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29-1</w:t>
            </w:r>
          </w:p>
          <w:p w:rsidR="00BD72C5" w:rsidRDefault="00BD72C5" w:rsidP="0083493C">
            <w:pPr>
              <w:rPr>
                <w:rFonts w:cs="Arial"/>
                <w:sz w:val="22"/>
                <w:szCs w:val="22"/>
              </w:rPr>
            </w:pPr>
          </w:p>
          <w:p w:rsidR="0083493C" w:rsidRPr="00807435" w:rsidRDefault="0083493C" w:rsidP="0083493C">
            <w:pPr>
              <w:rPr>
                <w:rFonts w:cs="Arial"/>
                <w:sz w:val="22"/>
                <w:szCs w:val="22"/>
              </w:rPr>
            </w:pPr>
            <w:r w:rsidRPr="00807435">
              <w:rPr>
                <w:rFonts w:cs="Arial"/>
                <w:sz w:val="22"/>
                <w:szCs w:val="22"/>
              </w:rPr>
              <w:t>290 0100</w:t>
            </w:r>
          </w:p>
          <w:p w:rsidR="0083493C" w:rsidRPr="00807435" w:rsidRDefault="0083493C" w:rsidP="0083493C">
            <w:pPr>
              <w:rPr>
                <w:rFonts w:cs="Arial"/>
                <w:sz w:val="22"/>
                <w:szCs w:val="22"/>
              </w:rPr>
            </w:pPr>
          </w:p>
          <w:p w:rsidR="0083493C" w:rsidRPr="00807435" w:rsidRDefault="0083493C" w:rsidP="0083493C">
            <w:pPr>
              <w:rPr>
                <w:rFonts w:cs="Arial"/>
                <w:sz w:val="22"/>
                <w:szCs w:val="22"/>
              </w:rPr>
            </w:pPr>
            <w:r w:rsidRPr="00807435">
              <w:rPr>
                <w:rFonts w:cs="Arial"/>
                <w:sz w:val="22"/>
                <w:szCs w:val="22"/>
              </w:rPr>
              <w:t>29101010</w:t>
            </w:r>
          </w:p>
          <w:p w:rsidR="003C14BD" w:rsidRPr="00807435" w:rsidRDefault="003C14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14BD" w:rsidRPr="00807435" w:rsidRDefault="003C14BD">
            <w:pPr>
              <w:rPr>
                <w:rFonts w:cs="Arial"/>
                <w:sz w:val="22"/>
                <w:szCs w:val="22"/>
              </w:rPr>
            </w:pPr>
          </w:p>
          <w:p w:rsidR="003C14BD" w:rsidRPr="00807435" w:rsidRDefault="00807435">
            <w:pPr>
              <w:rPr>
                <w:rFonts w:cs="Arial"/>
                <w:sz w:val="22"/>
                <w:szCs w:val="22"/>
              </w:rPr>
            </w:pPr>
            <w:r w:rsidRPr="00807435">
              <w:rPr>
                <w:rFonts w:cs="Arial"/>
                <w:sz w:val="22"/>
                <w:szCs w:val="22"/>
              </w:rPr>
              <w:t>Jobcenter</w:t>
            </w:r>
          </w:p>
          <w:p w:rsidR="003C14BD" w:rsidRPr="00807435" w:rsidRDefault="003C14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14BD" w:rsidRPr="00807435" w:rsidRDefault="003C14BD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C14BD" w:rsidRPr="00807435" w:rsidRDefault="00807435" w:rsidP="00607ED8">
            <w:pPr>
              <w:jc w:val="center"/>
              <w:rPr>
                <w:rFonts w:cs="Arial"/>
                <w:sz w:val="22"/>
                <w:szCs w:val="22"/>
              </w:rPr>
            </w:pPr>
            <w:r w:rsidRPr="00807435">
              <w:rPr>
                <w:rFonts w:cs="Arial"/>
                <w:sz w:val="22"/>
                <w:szCs w:val="22"/>
              </w:rPr>
              <w:t xml:space="preserve">EG </w:t>
            </w:r>
            <w:r w:rsidR="001F0592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14BD" w:rsidRPr="00807435" w:rsidRDefault="003C14BD">
            <w:pPr>
              <w:rPr>
                <w:rFonts w:cs="Arial"/>
                <w:sz w:val="22"/>
                <w:szCs w:val="22"/>
              </w:rPr>
            </w:pPr>
          </w:p>
          <w:p w:rsidR="003C14BD" w:rsidRDefault="009E0103" w:rsidP="009B57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Sachbearbeiter/-in</w:t>
            </w:r>
          </w:p>
          <w:p w:rsidR="009E0103" w:rsidRDefault="009E0103" w:rsidP="009B57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Zentralaktei</w:t>
            </w:r>
          </w:p>
          <w:p w:rsidR="009B5718" w:rsidRPr="00807435" w:rsidRDefault="009B5718" w:rsidP="009B57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14BD" w:rsidRPr="00BD72C5" w:rsidRDefault="003C14BD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3C14BD" w:rsidRPr="00BD72C5" w:rsidRDefault="00AA5D1B" w:rsidP="00607ED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0</w:t>
            </w:r>
            <w:r w:rsidR="009E0103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  <w:r w:rsidR="001F0592">
              <w:rPr>
                <w:rFonts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14BD" w:rsidRPr="00BD72C5" w:rsidRDefault="003C14BD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3C14BD" w:rsidRPr="00BD72C5" w:rsidRDefault="00607ED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14BD" w:rsidRPr="00BD72C5" w:rsidRDefault="003C14BD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3C14BD" w:rsidRPr="00BD72C5" w:rsidRDefault="001F0592" w:rsidP="00607ED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24.</w:t>
            </w:r>
            <w:r w:rsidR="00607ED8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50</w:t>
            </w:r>
          </w:p>
        </w:tc>
      </w:tr>
    </w:tbl>
    <w:p w:rsidR="003C14BD" w:rsidRPr="00BD72C5" w:rsidRDefault="00807435">
      <w:pPr>
        <w:pStyle w:val="berschrift11"/>
        <w:outlineLvl w:val="9"/>
        <w:rPr>
          <w:rFonts w:cs="Arial"/>
        </w:rPr>
      </w:pPr>
      <w:r w:rsidRPr="00BD72C5">
        <w:rPr>
          <w:rFonts w:cs="Arial"/>
        </w:rPr>
        <w:t>1</w:t>
      </w:r>
      <w:r w:rsidR="00BD72C5">
        <w:rPr>
          <w:rFonts w:cs="Arial"/>
        </w:rPr>
        <w:t>.</w:t>
      </w:r>
      <w:r w:rsidRPr="00BD72C5">
        <w:rPr>
          <w:rFonts w:cs="Arial"/>
        </w:rPr>
        <w:tab/>
        <w:t>Antrag, Stellenausstattung</w:t>
      </w:r>
    </w:p>
    <w:p w:rsidR="003C14BD" w:rsidRPr="00F722C9" w:rsidRDefault="00807435">
      <w:pPr>
        <w:pStyle w:val="Style1"/>
        <w:spacing w:before="279" w:line="277" w:lineRule="exact"/>
        <w:ind w:right="288"/>
        <w:rPr>
          <w:rFonts w:ascii="Arial" w:hAnsi="Arial" w:cs="Arial"/>
          <w:sz w:val="24"/>
        </w:rPr>
      </w:pPr>
      <w:r w:rsidRPr="00F722C9">
        <w:rPr>
          <w:rStyle w:val="CharacterStyle1"/>
          <w:rFonts w:ascii="Arial" w:hAnsi="Arial" w:cs="Arial"/>
          <w:sz w:val="24"/>
        </w:rPr>
        <w:t xml:space="preserve">Beantragt wird die Schaffung </w:t>
      </w:r>
      <w:r w:rsidR="00607ED8">
        <w:rPr>
          <w:rStyle w:val="CharacterStyle1"/>
          <w:rFonts w:ascii="Arial" w:hAnsi="Arial" w:cs="Arial"/>
          <w:sz w:val="24"/>
        </w:rPr>
        <w:t>einer</w:t>
      </w:r>
      <w:r w:rsidRPr="00F722C9">
        <w:rPr>
          <w:rStyle w:val="CharacterStyle1"/>
          <w:rFonts w:ascii="Arial" w:hAnsi="Arial" w:cs="Arial"/>
          <w:sz w:val="24"/>
        </w:rPr>
        <w:t xml:space="preserve"> </w:t>
      </w:r>
      <w:r w:rsidR="009E0103" w:rsidRPr="00F722C9">
        <w:rPr>
          <w:rStyle w:val="CharacterStyle1"/>
          <w:rFonts w:ascii="Arial" w:hAnsi="Arial" w:cs="Arial"/>
          <w:sz w:val="24"/>
        </w:rPr>
        <w:t>0</w:t>
      </w:r>
      <w:r w:rsidR="0092366A">
        <w:rPr>
          <w:rStyle w:val="CharacterStyle1"/>
          <w:rFonts w:ascii="Arial" w:hAnsi="Arial" w:cs="Arial"/>
          <w:sz w:val="24"/>
        </w:rPr>
        <w:t>,5</w:t>
      </w:r>
      <w:r w:rsidR="001F0592">
        <w:rPr>
          <w:rStyle w:val="CharacterStyle1"/>
          <w:rFonts w:ascii="Arial" w:hAnsi="Arial" w:cs="Arial"/>
          <w:sz w:val="24"/>
        </w:rPr>
        <w:t>0</w:t>
      </w:r>
      <w:r w:rsidRPr="00F722C9">
        <w:rPr>
          <w:rStyle w:val="CharacterStyle1"/>
          <w:rFonts w:ascii="Arial" w:hAnsi="Arial" w:cs="Arial"/>
          <w:b/>
          <w:sz w:val="24"/>
        </w:rPr>
        <w:t xml:space="preserve"> </w:t>
      </w:r>
      <w:r w:rsidR="00451E3D">
        <w:rPr>
          <w:rStyle w:val="CharacterStyle1"/>
          <w:rFonts w:ascii="Arial" w:hAnsi="Arial" w:cs="Arial"/>
          <w:sz w:val="24"/>
        </w:rPr>
        <w:t>S</w:t>
      </w:r>
      <w:r w:rsidRPr="00F722C9">
        <w:rPr>
          <w:rStyle w:val="CharacterStyle1"/>
          <w:rFonts w:ascii="Arial" w:hAnsi="Arial" w:cs="Arial"/>
          <w:sz w:val="24"/>
        </w:rPr>
        <w:t>telle</w:t>
      </w:r>
      <w:r w:rsidR="00827363" w:rsidRPr="00F722C9">
        <w:rPr>
          <w:rStyle w:val="CharacterStyle1"/>
          <w:rFonts w:ascii="Arial" w:hAnsi="Arial" w:cs="Arial"/>
          <w:sz w:val="24"/>
        </w:rPr>
        <w:t xml:space="preserve">, EG </w:t>
      </w:r>
      <w:r w:rsidR="001F0592">
        <w:rPr>
          <w:rStyle w:val="CharacterStyle1"/>
          <w:rFonts w:ascii="Arial" w:hAnsi="Arial" w:cs="Arial"/>
          <w:sz w:val="24"/>
        </w:rPr>
        <w:t>6,</w:t>
      </w:r>
      <w:r w:rsidR="00827363" w:rsidRPr="00F722C9">
        <w:rPr>
          <w:rStyle w:val="CharacterStyle1"/>
          <w:rFonts w:ascii="Arial" w:hAnsi="Arial" w:cs="Arial"/>
          <w:sz w:val="24"/>
        </w:rPr>
        <w:t xml:space="preserve"> </w:t>
      </w:r>
      <w:r w:rsidR="00F722C9" w:rsidRPr="00F722C9">
        <w:rPr>
          <w:rStyle w:val="CharacterStyle1"/>
          <w:rFonts w:ascii="Arial" w:hAnsi="Arial" w:cs="Arial"/>
          <w:sz w:val="24"/>
        </w:rPr>
        <w:t xml:space="preserve">dauerhaft </w:t>
      </w:r>
      <w:r w:rsidRPr="00F722C9">
        <w:rPr>
          <w:rStyle w:val="CharacterStyle1"/>
          <w:rFonts w:ascii="Arial" w:hAnsi="Arial" w:cs="Arial"/>
          <w:sz w:val="24"/>
        </w:rPr>
        <w:t>f</w:t>
      </w:r>
      <w:r w:rsidR="009B5718" w:rsidRPr="00F722C9">
        <w:rPr>
          <w:rFonts w:ascii="Arial" w:hAnsi="Arial" w:cs="Arial"/>
          <w:color w:val="000000"/>
          <w:sz w:val="24"/>
        </w:rPr>
        <w:t xml:space="preserve">ür </w:t>
      </w:r>
      <w:r w:rsidR="009E0103" w:rsidRPr="00F722C9">
        <w:rPr>
          <w:rFonts w:ascii="Arial" w:hAnsi="Arial" w:cs="Arial"/>
          <w:color w:val="000000"/>
          <w:sz w:val="24"/>
        </w:rPr>
        <w:t>die Sachbearbeitung in der Zentralaktei</w:t>
      </w:r>
      <w:r w:rsidRPr="00F722C9">
        <w:rPr>
          <w:rFonts w:ascii="Arial" w:hAnsi="Arial" w:cs="Arial"/>
          <w:color w:val="000000"/>
          <w:sz w:val="24"/>
        </w:rPr>
        <w:t xml:space="preserve"> </w:t>
      </w:r>
      <w:r w:rsidR="009B5718" w:rsidRPr="00F722C9">
        <w:rPr>
          <w:rFonts w:ascii="Arial" w:hAnsi="Arial" w:cs="Arial"/>
          <w:color w:val="000000"/>
          <w:sz w:val="24"/>
        </w:rPr>
        <w:t>im Sachgebiet Personal und Organisation</w:t>
      </w:r>
      <w:r w:rsidR="0083493C" w:rsidRPr="00F722C9">
        <w:rPr>
          <w:rFonts w:ascii="Arial" w:hAnsi="Arial" w:cs="Arial"/>
          <w:color w:val="000000"/>
          <w:sz w:val="24"/>
        </w:rPr>
        <w:t>.</w:t>
      </w:r>
    </w:p>
    <w:p w:rsidR="00F722C9" w:rsidRDefault="00F722C9" w:rsidP="00F722C9">
      <w:pPr>
        <w:pStyle w:val="berschrift11"/>
        <w:outlineLvl w:val="9"/>
        <w:rPr>
          <w:rFonts w:cs="Arial"/>
        </w:rPr>
      </w:pPr>
      <w:r w:rsidRPr="00B01E60">
        <w:rPr>
          <w:rFonts w:cs="Arial"/>
        </w:rPr>
        <w:t>2. Schaffungskriterien</w:t>
      </w:r>
    </w:p>
    <w:p w:rsidR="00F722C9" w:rsidRPr="00F722C9" w:rsidRDefault="00F722C9" w:rsidP="00F722C9">
      <w:pPr>
        <w:pStyle w:val="Textbody"/>
      </w:pPr>
    </w:p>
    <w:p w:rsidR="00607ED8" w:rsidRDefault="00607ED8" w:rsidP="001F0592">
      <w:pPr>
        <w:rPr>
          <w:rFonts w:cs="Arial"/>
        </w:rPr>
      </w:pPr>
      <w:r>
        <w:rPr>
          <w:rFonts w:cs="Arial"/>
        </w:rPr>
        <w:t>Es handelt sich um eine erhebliche Arbeitsvermehrung, die durch andere Maßnahmen nicht aufgefangen werden kann.</w:t>
      </w:r>
    </w:p>
    <w:p w:rsidR="00607ED8" w:rsidRDefault="00607ED8" w:rsidP="001F0592">
      <w:pPr>
        <w:rPr>
          <w:rFonts w:cs="Arial"/>
        </w:rPr>
      </w:pPr>
    </w:p>
    <w:p w:rsidR="00F722C9" w:rsidRPr="0092366A" w:rsidRDefault="00843DDE" w:rsidP="001F0592">
      <w:pPr>
        <w:rPr>
          <w:rFonts w:eastAsia="Calibri" w:cs="Arial"/>
          <w:color w:val="000000"/>
          <w:lang w:eastAsia="en-US"/>
        </w:rPr>
      </w:pPr>
      <w:r>
        <w:rPr>
          <w:rFonts w:cs="Arial"/>
        </w:rPr>
        <w:t xml:space="preserve">Die gerichtsfeste Archivierung aller relevanten Aktenteile </w:t>
      </w:r>
      <w:r w:rsidR="00F722C9" w:rsidRPr="00B01E60">
        <w:rPr>
          <w:rFonts w:eastAsia="Calibri" w:cs="Arial"/>
          <w:color w:val="000000"/>
          <w:lang w:eastAsia="en-US"/>
        </w:rPr>
        <w:t>einer Bedarfsgemeinschaft in einer Akte</w:t>
      </w:r>
      <w:r w:rsidR="00F722C9">
        <w:rPr>
          <w:rFonts w:eastAsia="Calibri" w:cs="Arial"/>
          <w:color w:val="000000"/>
          <w:lang w:eastAsia="en-US"/>
        </w:rPr>
        <w:t xml:space="preserve"> erfolgt in der Zentralaktei</w:t>
      </w:r>
      <w:r w:rsidR="00F722C9" w:rsidRPr="00B01E60">
        <w:rPr>
          <w:rFonts w:eastAsia="Calibri" w:cs="Arial"/>
          <w:color w:val="000000"/>
          <w:lang w:eastAsia="en-US"/>
        </w:rPr>
        <w:t xml:space="preserve">. </w:t>
      </w:r>
      <w:r>
        <w:rPr>
          <w:rFonts w:eastAsia="Calibri" w:cs="Arial"/>
          <w:color w:val="000000"/>
          <w:lang w:eastAsia="en-US"/>
        </w:rPr>
        <w:t>Seit 2014</w:t>
      </w:r>
      <w:r w:rsidR="00F722C9">
        <w:rPr>
          <w:rFonts w:eastAsia="Calibri" w:cs="Arial"/>
          <w:color w:val="000000"/>
          <w:lang w:eastAsia="en-US"/>
        </w:rPr>
        <w:t xml:space="preserve"> wurden d</w:t>
      </w:r>
      <w:r w:rsidR="00F722C9" w:rsidRPr="00B01E60">
        <w:rPr>
          <w:rFonts w:eastAsia="Calibri" w:cs="Arial"/>
          <w:color w:val="000000"/>
          <w:lang w:eastAsia="en-US"/>
        </w:rPr>
        <w:t>urch die Nutzung</w:t>
      </w:r>
      <w:r w:rsidR="00060556">
        <w:rPr>
          <w:rFonts w:eastAsia="Calibri" w:cs="Arial"/>
          <w:color w:val="000000"/>
          <w:lang w:eastAsia="en-US"/>
        </w:rPr>
        <w:t xml:space="preserve"> des Fach</w:t>
      </w:r>
      <w:r w:rsidR="00607ED8">
        <w:rPr>
          <w:rFonts w:eastAsia="Calibri" w:cs="Arial"/>
          <w:color w:val="000000"/>
          <w:lang w:eastAsia="en-US"/>
        </w:rPr>
        <w:t>-</w:t>
      </w:r>
      <w:r w:rsidR="00060556">
        <w:rPr>
          <w:rFonts w:eastAsia="Calibri" w:cs="Arial"/>
          <w:color w:val="000000"/>
          <w:lang w:eastAsia="en-US"/>
        </w:rPr>
        <w:t>verfahrens LÄMMkom</w:t>
      </w:r>
      <w:r w:rsidR="008503CC">
        <w:rPr>
          <w:rFonts w:eastAsia="Calibri" w:cs="Arial"/>
          <w:color w:val="000000"/>
          <w:lang w:eastAsia="en-US"/>
        </w:rPr>
        <w:t xml:space="preserve"> (LK)</w:t>
      </w:r>
      <w:r w:rsidR="0065580B">
        <w:rPr>
          <w:rFonts w:eastAsia="Calibri" w:cs="Arial"/>
          <w:color w:val="000000"/>
          <w:lang w:eastAsia="en-US"/>
        </w:rPr>
        <w:t>, den</w:t>
      </w:r>
      <w:r w:rsidR="00F722C9" w:rsidRPr="00B01E60">
        <w:rPr>
          <w:rFonts w:eastAsia="Calibri" w:cs="Arial"/>
          <w:color w:val="000000"/>
          <w:lang w:eastAsia="en-US"/>
        </w:rPr>
        <w:t xml:space="preserve"> </w:t>
      </w:r>
      <w:r w:rsidR="0065580B">
        <w:rPr>
          <w:rFonts w:eastAsia="Calibri" w:cs="Arial"/>
          <w:color w:val="000000"/>
          <w:lang w:eastAsia="en-US"/>
        </w:rPr>
        <w:t>Einsatz von Barcodes sowie die</w:t>
      </w:r>
      <w:r w:rsidR="00F722C9" w:rsidRPr="00B01E60">
        <w:rPr>
          <w:rFonts w:eastAsia="Calibri" w:cs="Arial"/>
          <w:color w:val="000000"/>
          <w:lang w:eastAsia="en-US"/>
        </w:rPr>
        <w:t xml:space="preserve"> Einführung einer EDV-unterstützten dynamischen</w:t>
      </w:r>
      <w:r w:rsidR="001F0592">
        <w:rPr>
          <w:rFonts w:eastAsia="Calibri" w:cs="Arial"/>
          <w:color w:val="000000"/>
          <w:lang w:eastAsia="en-US"/>
        </w:rPr>
        <w:t xml:space="preserve"> </w:t>
      </w:r>
      <w:r w:rsidR="00F722C9" w:rsidRPr="00B01E60">
        <w:rPr>
          <w:rFonts w:eastAsia="Calibri" w:cs="Arial"/>
          <w:color w:val="000000"/>
          <w:lang w:eastAsia="en-US"/>
        </w:rPr>
        <w:t xml:space="preserve">Ablagesystematik </w:t>
      </w:r>
      <w:r w:rsidR="00861FE4">
        <w:rPr>
          <w:rFonts w:eastAsia="Calibri" w:cs="Arial"/>
          <w:color w:val="000000"/>
          <w:lang w:eastAsia="en-US"/>
        </w:rPr>
        <w:t xml:space="preserve">(Akteifinder) </w:t>
      </w:r>
      <w:r w:rsidR="00F722C9" w:rsidRPr="00B01E60">
        <w:rPr>
          <w:rFonts w:eastAsia="Calibri" w:cs="Arial"/>
          <w:color w:val="000000"/>
          <w:lang w:eastAsia="en-US"/>
        </w:rPr>
        <w:t>wesentliche Schritte für den Aufbau einer modernen und effizienten Zentralaktei ge</w:t>
      </w:r>
      <w:r w:rsidR="001F0592">
        <w:rPr>
          <w:rFonts w:eastAsia="Calibri" w:cs="Arial"/>
          <w:color w:val="000000"/>
          <w:lang w:eastAsia="en-US"/>
        </w:rPr>
        <w:t>tan</w:t>
      </w:r>
      <w:r w:rsidR="00F722C9" w:rsidRPr="00B01E60">
        <w:rPr>
          <w:rFonts w:eastAsia="Calibri" w:cs="Arial"/>
          <w:color w:val="000000"/>
          <w:lang w:eastAsia="en-US"/>
        </w:rPr>
        <w:t>.</w:t>
      </w:r>
      <w:r w:rsidR="008D5D74">
        <w:rPr>
          <w:rFonts w:eastAsia="Calibri" w:cs="Arial"/>
          <w:color w:val="000000"/>
          <w:lang w:eastAsia="en-US"/>
        </w:rPr>
        <w:t xml:space="preserve"> </w:t>
      </w:r>
      <w:r w:rsidR="000D16A7">
        <w:rPr>
          <w:rFonts w:eastAsia="Calibri" w:cs="Arial"/>
          <w:color w:val="000000"/>
          <w:lang w:eastAsia="en-US"/>
        </w:rPr>
        <w:t>Dies bedeutet jedoch eine erhebliche Arbeitsvermehrung.</w:t>
      </w:r>
      <w:r w:rsidR="0092366A" w:rsidRPr="0092366A">
        <w:rPr>
          <w:rFonts w:eastAsia="Calibri" w:cs="Arial"/>
          <w:color w:val="000000"/>
          <w:lang w:eastAsia="en-US"/>
        </w:rPr>
        <w:t xml:space="preserve"> </w:t>
      </w:r>
    </w:p>
    <w:p w:rsidR="003D6E3F" w:rsidRDefault="00F722C9" w:rsidP="001F0592">
      <w:pPr>
        <w:pStyle w:val="berschrift1"/>
        <w:rPr>
          <w:rFonts w:cs="Arial"/>
        </w:rPr>
      </w:pPr>
      <w:r>
        <w:rPr>
          <w:rFonts w:cs="Arial"/>
        </w:rPr>
        <w:t>3</w:t>
      </w:r>
      <w:r w:rsidR="001F0592">
        <w:rPr>
          <w:rFonts w:cs="Arial"/>
        </w:rPr>
        <w:t>. Bedarf</w:t>
      </w:r>
    </w:p>
    <w:p w:rsidR="001F0592" w:rsidRPr="001F0592" w:rsidRDefault="001F0592" w:rsidP="001F0592">
      <w:pPr>
        <w:rPr>
          <w:lang w:eastAsia="de-DE" w:bidi="ar-SA"/>
        </w:rPr>
      </w:pPr>
    </w:p>
    <w:p w:rsidR="003D6E3F" w:rsidRDefault="003D6E3F" w:rsidP="003D6E3F">
      <w:pPr>
        <w:rPr>
          <w:rFonts w:cs="Arial"/>
          <w:b/>
          <w:color w:val="000000"/>
        </w:rPr>
      </w:pPr>
      <w:r w:rsidRPr="003D3EED">
        <w:rPr>
          <w:rFonts w:cs="Arial"/>
          <w:b/>
          <w:color w:val="000000"/>
        </w:rPr>
        <w:t>3.1 Anlass</w:t>
      </w:r>
    </w:p>
    <w:p w:rsidR="0092366A" w:rsidRDefault="0092366A" w:rsidP="003D6E3F">
      <w:pPr>
        <w:rPr>
          <w:rFonts w:cs="Arial"/>
          <w:b/>
          <w:color w:val="000000"/>
        </w:rPr>
      </w:pPr>
    </w:p>
    <w:p w:rsidR="000B775D" w:rsidRPr="000B775D" w:rsidRDefault="000B775D" w:rsidP="000B775D">
      <w:pPr>
        <w:suppressAutoHyphens w:val="0"/>
        <w:autoSpaceDE w:val="0"/>
        <w:adjustRightInd w:val="0"/>
        <w:textAlignment w:val="auto"/>
        <w:rPr>
          <w:rFonts w:cs="Arial"/>
          <w:color w:val="000000"/>
          <w:kern w:val="0"/>
          <w:lang w:bidi="ar-SA"/>
        </w:rPr>
      </w:pPr>
      <w:r w:rsidRPr="000B775D">
        <w:rPr>
          <w:rFonts w:cs="Arial"/>
          <w:color w:val="000000"/>
          <w:kern w:val="0"/>
          <w:lang w:bidi="ar-SA"/>
        </w:rPr>
        <w:t>Im Rahmen der Umorganisation der Zentralaktei im Jobcenter wurden 2014</w:t>
      </w:r>
      <w:r w:rsidR="00060556">
        <w:rPr>
          <w:rFonts w:cs="Arial"/>
          <w:color w:val="000000"/>
          <w:kern w:val="0"/>
          <w:lang w:bidi="ar-SA"/>
        </w:rPr>
        <w:t xml:space="preserve"> und 2015</w:t>
      </w:r>
      <w:r w:rsidR="00F4045B">
        <w:rPr>
          <w:rFonts w:cs="Arial"/>
          <w:color w:val="000000"/>
          <w:kern w:val="0"/>
          <w:lang w:bidi="ar-SA"/>
        </w:rPr>
        <w:t xml:space="preserve"> mehr als 31</w:t>
      </w:r>
      <w:r w:rsidRPr="000B775D">
        <w:rPr>
          <w:rFonts w:cs="Arial"/>
          <w:color w:val="000000"/>
          <w:kern w:val="0"/>
          <w:lang w:bidi="ar-SA"/>
        </w:rPr>
        <w:t xml:space="preserve">.000 Akten, die sich </w:t>
      </w:r>
      <w:r>
        <w:rPr>
          <w:rFonts w:cs="Arial"/>
          <w:color w:val="000000"/>
          <w:kern w:val="0"/>
          <w:lang w:bidi="ar-SA"/>
        </w:rPr>
        <w:t xml:space="preserve">zu diesem Zeitpunkt </w:t>
      </w:r>
      <w:r w:rsidR="00843DDE">
        <w:rPr>
          <w:rFonts w:cs="Arial"/>
          <w:color w:val="000000"/>
          <w:kern w:val="0"/>
          <w:lang w:bidi="ar-SA"/>
        </w:rPr>
        <w:t>in den Räumen der</w:t>
      </w:r>
      <w:r w:rsidRPr="000B775D">
        <w:rPr>
          <w:rFonts w:cs="Arial"/>
          <w:color w:val="000000"/>
          <w:kern w:val="0"/>
          <w:lang w:bidi="ar-SA"/>
        </w:rPr>
        <w:t xml:space="preserve"> Zentralaktei in der Rosensteinstraß</w:t>
      </w:r>
      <w:r>
        <w:rPr>
          <w:rFonts w:cs="Arial"/>
          <w:color w:val="000000"/>
          <w:kern w:val="0"/>
          <w:lang w:bidi="ar-SA"/>
        </w:rPr>
        <w:t>e 11 befa</w:t>
      </w:r>
      <w:r w:rsidRPr="000B775D">
        <w:rPr>
          <w:rFonts w:cs="Arial"/>
          <w:color w:val="000000"/>
          <w:kern w:val="0"/>
          <w:lang w:bidi="ar-SA"/>
        </w:rPr>
        <w:t>nden, mit Barcodes versehen. Dazu muss</w:t>
      </w:r>
      <w:r w:rsidR="002168F5">
        <w:rPr>
          <w:rFonts w:cs="Arial"/>
          <w:color w:val="000000"/>
          <w:kern w:val="0"/>
          <w:lang w:bidi="ar-SA"/>
        </w:rPr>
        <w:t>te</w:t>
      </w:r>
      <w:r w:rsidR="00CD3A7D">
        <w:rPr>
          <w:rFonts w:cs="Arial"/>
          <w:color w:val="000000"/>
          <w:kern w:val="0"/>
          <w:lang w:bidi="ar-SA"/>
        </w:rPr>
        <w:t xml:space="preserve"> jede Akte </w:t>
      </w:r>
      <w:r w:rsidRPr="000B775D">
        <w:rPr>
          <w:rFonts w:cs="Arial"/>
          <w:color w:val="000000"/>
          <w:kern w:val="0"/>
          <w:lang w:bidi="ar-SA"/>
        </w:rPr>
        <w:t xml:space="preserve">abgehängt, einer Kurzprüfung unterzogen, mit dem Barcode versehen und wieder eingehängt werden. </w:t>
      </w:r>
    </w:p>
    <w:p w:rsidR="000B775D" w:rsidRPr="000B775D" w:rsidRDefault="000B775D" w:rsidP="000B775D">
      <w:pPr>
        <w:suppressAutoHyphens w:val="0"/>
        <w:autoSpaceDE w:val="0"/>
        <w:adjustRightInd w:val="0"/>
        <w:textAlignment w:val="auto"/>
        <w:rPr>
          <w:rFonts w:cs="Arial"/>
          <w:color w:val="000000"/>
          <w:kern w:val="0"/>
          <w:lang w:bidi="ar-SA"/>
        </w:rPr>
      </w:pPr>
    </w:p>
    <w:p w:rsidR="00F4045B" w:rsidRDefault="000B775D" w:rsidP="000B775D">
      <w:pPr>
        <w:suppressAutoHyphens w:val="0"/>
        <w:autoSpaceDE w:val="0"/>
        <w:adjustRightInd w:val="0"/>
        <w:textAlignment w:val="auto"/>
        <w:rPr>
          <w:rFonts w:cs="Arial"/>
          <w:color w:val="000000"/>
          <w:kern w:val="0"/>
          <w:lang w:bidi="ar-SA"/>
        </w:rPr>
      </w:pPr>
      <w:r>
        <w:rPr>
          <w:rFonts w:cs="Arial"/>
          <w:color w:val="000000"/>
          <w:kern w:val="0"/>
          <w:lang w:bidi="ar-SA"/>
        </w:rPr>
        <w:t>Der</w:t>
      </w:r>
      <w:r w:rsidRPr="000B775D">
        <w:rPr>
          <w:rFonts w:cs="Arial"/>
          <w:color w:val="000000"/>
          <w:kern w:val="0"/>
          <w:lang w:bidi="ar-SA"/>
        </w:rPr>
        <w:t xml:space="preserve"> Einsatz von Barcodes </w:t>
      </w:r>
      <w:r>
        <w:rPr>
          <w:rFonts w:cs="Arial"/>
          <w:color w:val="000000"/>
          <w:kern w:val="0"/>
          <w:lang w:bidi="ar-SA"/>
        </w:rPr>
        <w:t xml:space="preserve">hatte </w:t>
      </w:r>
      <w:r w:rsidRPr="000B775D">
        <w:rPr>
          <w:rFonts w:cs="Arial"/>
          <w:color w:val="000000"/>
          <w:kern w:val="0"/>
          <w:lang w:bidi="ar-SA"/>
        </w:rPr>
        <w:t xml:space="preserve">die maximale Reduzierung von manuellen Erfassungsfehlern und die Beschleunigung des </w:t>
      </w:r>
      <w:r w:rsidR="00060556">
        <w:rPr>
          <w:rFonts w:cs="Arial"/>
          <w:color w:val="000000"/>
          <w:kern w:val="0"/>
          <w:lang w:bidi="ar-SA"/>
        </w:rPr>
        <w:t xml:space="preserve">amtsinternen </w:t>
      </w:r>
      <w:r w:rsidRPr="000B775D">
        <w:rPr>
          <w:rFonts w:cs="Arial"/>
          <w:color w:val="000000"/>
          <w:kern w:val="0"/>
          <w:lang w:bidi="ar-SA"/>
        </w:rPr>
        <w:t xml:space="preserve">Aktenverkehrs </w:t>
      </w:r>
      <w:r>
        <w:rPr>
          <w:rFonts w:cs="Arial"/>
          <w:color w:val="000000"/>
          <w:kern w:val="0"/>
          <w:lang w:bidi="ar-SA"/>
        </w:rPr>
        <w:t>zum Ziel</w:t>
      </w:r>
      <w:r w:rsidRPr="000B775D">
        <w:rPr>
          <w:rFonts w:cs="Arial"/>
          <w:color w:val="000000"/>
          <w:kern w:val="0"/>
          <w:lang w:bidi="ar-SA"/>
        </w:rPr>
        <w:t xml:space="preserve">. </w:t>
      </w:r>
    </w:p>
    <w:p w:rsidR="00060556" w:rsidRDefault="00060556" w:rsidP="000B775D">
      <w:pPr>
        <w:suppressAutoHyphens w:val="0"/>
        <w:autoSpaceDE w:val="0"/>
        <w:adjustRightInd w:val="0"/>
        <w:textAlignment w:val="auto"/>
        <w:rPr>
          <w:rFonts w:cs="Arial"/>
          <w:color w:val="000000"/>
          <w:kern w:val="0"/>
          <w:lang w:bidi="ar-SA"/>
        </w:rPr>
      </w:pPr>
    </w:p>
    <w:p w:rsidR="00F4045B" w:rsidRDefault="000B775D" w:rsidP="00843DDE">
      <w:pPr>
        <w:suppressAutoHyphens w:val="0"/>
        <w:autoSpaceDE w:val="0"/>
        <w:adjustRightInd w:val="0"/>
        <w:textAlignment w:val="auto"/>
        <w:rPr>
          <w:rFonts w:cs="Arial"/>
          <w:color w:val="000000"/>
        </w:rPr>
      </w:pPr>
      <w:r w:rsidRPr="000B775D">
        <w:rPr>
          <w:rFonts w:cs="Arial"/>
          <w:color w:val="000000"/>
          <w:kern w:val="0"/>
          <w:lang w:bidi="ar-SA"/>
        </w:rPr>
        <w:t>Der erheblich</w:t>
      </w:r>
      <w:r w:rsidR="00F4045B">
        <w:rPr>
          <w:rFonts w:cs="Arial"/>
          <w:color w:val="000000"/>
          <w:kern w:val="0"/>
          <w:lang w:bidi="ar-SA"/>
        </w:rPr>
        <w:t>e</w:t>
      </w:r>
      <w:r w:rsidRPr="000B775D">
        <w:rPr>
          <w:rFonts w:cs="Arial"/>
          <w:color w:val="000000"/>
          <w:kern w:val="0"/>
          <w:lang w:bidi="ar-SA"/>
        </w:rPr>
        <w:t xml:space="preserve"> </w:t>
      </w:r>
      <w:r w:rsidR="00850D4D">
        <w:rPr>
          <w:rFonts w:cs="Arial"/>
          <w:color w:val="000000"/>
        </w:rPr>
        <w:t xml:space="preserve">manuelle Aufwand </w:t>
      </w:r>
      <w:r w:rsidRPr="000B775D">
        <w:rPr>
          <w:rFonts w:cs="Arial"/>
          <w:color w:val="000000"/>
        </w:rPr>
        <w:t>d</w:t>
      </w:r>
      <w:r w:rsidR="00F133A8">
        <w:rPr>
          <w:rFonts w:cs="Arial"/>
          <w:color w:val="000000"/>
        </w:rPr>
        <w:t>er</w:t>
      </w:r>
      <w:r w:rsidRPr="000B775D">
        <w:rPr>
          <w:rFonts w:cs="Arial"/>
          <w:color w:val="000000"/>
        </w:rPr>
        <w:t xml:space="preserve"> Um</w:t>
      </w:r>
      <w:r w:rsidR="0065580B">
        <w:rPr>
          <w:rFonts w:cs="Arial"/>
          <w:color w:val="000000"/>
        </w:rPr>
        <w:t>organisation</w:t>
      </w:r>
      <w:r w:rsidR="005A7B7A">
        <w:rPr>
          <w:rFonts w:cs="Arial"/>
          <w:color w:val="000000"/>
        </w:rPr>
        <w:t xml:space="preserve"> musste von </w:t>
      </w:r>
      <w:r w:rsidR="00850D4D">
        <w:rPr>
          <w:rFonts w:cs="Arial"/>
          <w:color w:val="000000"/>
        </w:rPr>
        <w:t xml:space="preserve">zwei </w:t>
      </w:r>
      <w:r w:rsidRPr="000B775D">
        <w:rPr>
          <w:rFonts w:cs="Arial"/>
          <w:color w:val="000000"/>
        </w:rPr>
        <w:t>Mitarbeitern der Zentralaktei (1,5 Stellen) bewältigt werden.</w:t>
      </w:r>
      <w:r w:rsidR="00F4045B">
        <w:rPr>
          <w:rFonts w:cs="Arial"/>
          <w:color w:val="000000"/>
        </w:rPr>
        <w:t xml:space="preserve"> Dies hatte zur Folge, dass </w:t>
      </w:r>
      <w:r w:rsidR="001F0592">
        <w:rPr>
          <w:rFonts w:cs="Arial"/>
          <w:color w:val="000000"/>
        </w:rPr>
        <w:t xml:space="preserve">im Zeitraum </w:t>
      </w:r>
      <w:r w:rsidR="00060556">
        <w:rPr>
          <w:rFonts w:cs="Arial"/>
          <w:color w:val="000000"/>
        </w:rPr>
        <w:t xml:space="preserve">von </w:t>
      </w:r>
      <w:r w:rsidR="00060556">
        <w:rPr>
          <w:rFonts w:cs="Arial"/>
          <w:color w:val="000000"/>
        </w:rPr>
        <w:lastRenderedPageBreak/>
        <w:t>mehr als einem Jahr</w:t>
      </w:r>
      <w:r w:rsidR="00F90D28">
        <w:rPr>
          <w:rFonts w:cs="Arial"/>
          <w:color w:val="000000"/>
        </w:rPr>
        <w:t xml:space="preserve"> keine Akten aus den Zweig- und Fachstellen an die </w:t>
      </w:r>
      <w:r w:rsidR="00C56E21">
        <w:rPr>
          <w:rFonts w:cs="Arial"/>
          <w:color w:val="000000"/>
        </w:rPr>
        <w:t>Zentrala</w:t>
      </w:r>
      <w:r w:rsidR="00F90D28">
        <w:rPr>
          <w:rFonts w:cs="Arial"/>
          <w:color w:val="000000"/>
        </w:rPr>
        <w:t>ktei abgegeben werden</w:t>
      </w:r>
      <w:r w:rsidR="00F4045B">
        <w:rPr>
          <w:rFonts w:cs="Arial"/>
          <w:color w:val="000000"/>
        </w:rPr>
        <w:t xml:space="preserve"> konnten</w:t>
      </w:r>
      <w:r w:rsidR="00F90D28">
        <w:rPr>
          <w:rFonts w:cs="Arial"/>
          <w:color w:val="000000"/>
        </w:rPr>
        <w:t>.</w:t>
      </w:r>
    </w:p>
    <w:p w:rsidR="00850D4D" w:rsidRDefault="00850D4D" w:rsidP="00441F15">
      <w:pPr>
        <w:rPr>
          <w:rFonts w:eastAsia="Calibri" w:cs="Arial"/>
          <w:color w:val="000000"/>
          <w:lang w:eastAsia="en-US"/>
        </w:rPr>
      </w:pPr>
    </w:p>
    <w:p w:rsidR="009713C5" w:rsidRDefault="001F0592" w:rsidP="00441F15">
      <w:pPr>
        <w:rPr>
          <w:rFonts w:eastAsia="Calibri" w:cs="Arial"/>
          <w:lang w:eastAsia="en-US"/>
        </w:rPr>
      </w:pPr>
      <w:r>
        <w:rPr>
          <w:rFonts w:eastAsia="Calibri" w:cs="Arial"/>
          <w:color w:val="000000"/>
          <w:lang w:eastAsia="en-US"/>
        </w:rPr>
        <w:t xml:space="preserve">Nach der </w:t>
      </w:r>
      <w:r w:rsidR="00F4045B">
        <w:rPr>
          <w:rFonts w:eastAsia="Calibri" w:cs="Arial"/>
          <w:color w:val="000000"/>
          <w:lang w:eastAsia="en-US"/>
        </w:rPr>
        <w:t>Umorganisation</w:t>
      </w:r>
      <w:r>
        <w:rPr>
          <w:rFonts w:eastAsia="Calibri" w:cs="Arial"/>
          <w:color w:val="000000"/>
          <w:lang w:eastAsia="en-US"/>
        </w:rPr>
        <w:t xml:space="preserve"> der Zentralaktei</w:t>
      </w:r>
      <w:r w:rsidR="00C56E21">
        <w:rPr>
          <w:rFonts w:eastAsia="Calibri" w:cs="Arial"/>
          <w:color w:val="000000"/>
          <w:lang w:eastAsia="en-US"/>
        </w:rPr>
        <w:t xml:space="preserve"> erfolgten</w:t>
      </w:r>
      <w:r w:rsidR="00843DDE">
        <w:rPr>
          <w:rFonts w:eastAsia="Calibri" w:cs="Arial"/>
          <w:color w:val="000000"/>
          <w:lang w:eastAsia="en-US"/>
        </w:rPr>
        <w:t xml:space="preserve"> mehr als 25</w:t>
      </w:r>
      <w:r w:rsidR="00F4045B">
        <w:rPr>
          <w:rFonts w:eastAsia="Calibri" w:cs="Arial"/>
          <w:color w:val="000000"/>
          <w:lang w:eastAsia="en-US"/>
        </w:rPr>
        <w:t xml:space="preserve"> </w:t>
      </w:r>
      <w:r w:rsidR="00F4045B" w:rsidRPr="00B01E60">
        <w:rPr>
          <w:rFonts w:eastAsia="Calibri" w:cs="Arial"/>
          <w:color w:val="000000"/>
          <w:lang w:eastAsia="en-US"/>
        </w:rPr>
        <w:t>In</w:t>
      </w:r>
      <w:r w:rsidR="00F4045B">
        <w:rPr>
          <w:rFonts w:eastAsia="Calibri" w:cs="Arial"/>
          <w:color w:val="000000"/>
          <w:lang w:eastAsia="en-US"/>
        </w:rPr>
        <w:t xml:space="preserve">venturtage in den </w:t>
      </w:r>
      <w:r w:rsidR="00451E3D" w:rsidRPr="00B01E60">
        <w:rPr>
          <w:rFonts w:eastAsia="Calibri" w:cs="Arial"/>
          <w:color w:val="000000"/>
          <w:lang w:eastAsia="en-US"/>
        </w:rPr>
        <w:t>dezentralen</w:t>
      </w:r>
      <w:r w:rsidR="00451E3D">
        <w:rPr>
          <w:rFonts w:eastAsia="Calibri" w:cs="Arial"/>
          <w:color w:val="000000"/>
          <w:lang w:eastAsia="en-US"/>
        </w:rPr>
        <w:t xml:space="preserve"> </w:t>
      </w:r>
      <w:r w:rsidR="00850D4D">
        <w:rPr>
          <w:rFonts w:eastAsia="Calibri" w:cs="Arial"/>
          <w:color w:val="000000"/>
          <w:lang w:eastAsia="en-US"/>
        </w:rPr>
        <w:t xml:space="preserve">Zweig- und Fachstellen </w:t>
      </w:r>
      <w:r w:rsidR="00C56E21">
        <w:rPr>
          <w:rFonts w:eastAsia="Calibri" w:cs="Arial"/>
          <w:color w:val="000000"/>
          <w:lang w:eastAsia="en-US"/>
        </w:rPr>
        <w:t>in den Jahren 2015 und 2016</w:t>
      </w:r>
      <w:r w:rsidR="00F4045B">
        <w:rPr>
          <w:rFonts w:eastAsia="Calibri" w:cs="Arial"/>
          <w:color w:val="000000"/>
          <w:lang w:eastAsia="en-US"/>
        </w:rPr>
        <w:t xml:space="preserve"> </w:t>
      </w:r>
      <w:r w:rsidR="00F722C9" w:rsidRPr="00B01E60">
        <w:rPr>
          <w:rFonts w:eastAsia="Calibri" w:cs="Arial"/>
          <w:color w:val="000000"/>
          <w:lang w:eastAsia="en-US"/>
        </w:rPr>
        <w:t xml:space="preserve">in </w:t>
      </w:r>
      <w:r w:rsidR="00F722C9">
        <w:rPr>
          <w:rFonts w:eastAsia="Calibri" w:cs="Arial"/>
          <w:color w:val="000000"/>
          <w:lang w:eastAsia="en-US"/>
        </w:rPr>
        <w:t>konzert</w:t>
      </w:r>
      <w:r w:rsidR="00F722C9" w:rsidRPr="00B01E60">
        <w:rPr>
          <w:rFonts w:eastAsia="Calibri" w:cs="Arial"/>
          <w:color w:val="000000"/>
          <w:lang w:eastAsia="en-US"/>
        </w:rPr>
        <w:t>ierten A</w:t>
      </w:r>
      <w:r w:rsidR="00451E3D">
        <w:rPr>
          <w:rFonts w:eastAsia="Calibri" w:cs="Arial"/>
          <w:color w:val="000000"/>
          <w:lang w:eastAsia="en-US"/>
        </w:rPr>
        <w:t xml:space="preserve">ktionen der Mitarbeitenden der </w:t>
      </w:r>
      <w:r w:rsidR="00F722C9" w:rsidRPr="00B01E60">
        <w:rPr>
          <w:rFonts w:eastAsia="Calibri" w:cs="Arial"/>
          <w:color w:val="000000"/>
          <w:lang w:eastAsia="en-US"/>
        </w:rPr>
        <w:t xml:space="preserve">Zweig- und </w:t>
      </w:r>
      <w:r w:rsidR="00060556">
        <w:rPr>
          <w:rFonts w:eastAsia="Calibri" w:cs="Arial"/>
          <w:color w:val="000000"/>
          <w:lang w:eastAsia="en-US"/>
        </w:rPr>
        <w:t>Fach</w:t>
      </w:r>
      <w:r w:rsidR="00F722C9" w:rsidRPr="00B01E60">
        <w:rPr>
          <w:rFonts w:eastAsia="Calibri" w:cs="Arial"/>
          <w:color w:val="000000"/>
          <w:lang w:eastAsia="en-US"/>
        </w:rPr>
        <w:t>stellen, der Zent</w:t>
      </w:r>
      <w:r w:rsidR="00C56E21">
        <w:rPr>
          <w:rFonts w:eastAsia="Calibri" w:cs="Arial"/>
          <w:color w:val="000000"/>
          <w:lang w:eastAsia="en-US"/>
        </w:rPr>
        <w:t>ralaktei sowie des Controllings.</w:t>
      </w:r>
      <w:r w:rsidR="00F4045B">
        <w:rPr>
          <w:rFonts w:eastAsia="Calibri" w:cs="Arial"/>
          <w:color w:val="000000"/>
          <w:lang w:eastAsia="en-US"/>
        </w:rPr>
        <w:t xml:space="preserve"> </w:t>
      </w:r>
      <w:r w:rsidR="00C56E21">
        <w:rPr>
          <w:rFonts w:eastAsia="Calibri" w:cs="Arial"/>
          <w:color w:val="000000"/>
          <w:lang w:eastAsia="en-US"/>
        </w:rPr>
        <w:t xml:space="preserve">Dabei wurden </w:t>
      </w:r>
      <w:r w:rsidR="007C19AF">
        <w:rPr>
          <w:rFonts w:eastAsia="Calibri" w:cs="Arial"/>
          <w:color w:val="000000"/>
          <w:lang w:eastAsia="en-US"/>
        </w:rPr>
        <w:t>rd.</w:t>
      </w:r>
      <w:r w:rsidR="00F722C9" w:rsidRPr="00B01E60">
        <w:rPr>
          <w:rFonts w:eastAsia="Calibri" w:cs="Arial"/>
          <w:color w:val="000000"/>
          <w:lang w:eastAsia="en-US"/>
        </w:rPr>
        <w:t xml:space="preserve"> 11.000 archivierungsfähige Akten </w:t>
      </w:r>
      <w:r w:rsidR="007C19AF">
        <w:rPr>
          <w:rFonts w:eastAsia="Calibri" w:cs="Arial"/>
          <w:color w:val="000000"/>
          <w:lang w:eastAsia="en-US"/>
        </w:rPr>
        <w:t>an die Zentralaktei weitergeleitet</w:t>
      </w:r>
      <w:r w:rsidR="00CD3A7D">
        <w:rPr>
          <w:rFonts w:eastAsia="Calibri" w:cs="Arial"/>
          <w:color w:val="000000"/>
          <w:lang w:eastAsia="en-US"/>
        </w:rPr>
        <w:t xml:space="preserve"> und in der Zentralaktei vereinnahmt</w:t>
      </w:r>
      <w:r w:rsidR="007C19AF">
        <w:rPr>
          <w:rFonts w:eastAsia="Calibri" w:cs="Arial"/>
          <w:color w:val="000000"/>
          <w:lang w:eastAsia="en-US"/>
        </w:rPr>
        <w:t>.</w:t>
      </w:r>
      <w:r w:rsidR="00F722C9" w:rsidRPr="00B01E60">
        <w:rPr>
          <w:rFonts w:eastAsia="Calibri" w:cs="Arial"/>
          <w:color w:val="000000"/>
          <w:lang w:eastAsia="en-US"/>
        </w:rPr>
        <w:t xml:space="preserve"> </w:t>
      </w:r>
    </w:p>
    <w:p w:rsidR="0092685D" w:rsidRDefault="0092685D" w:rsidP="00F422F4">
      <w:pPr>
        <w:rPr>
          <w:rFonts w:cs="Arial"/>
          <w:sz w:val="22"/>
          <w:szCs w:val="22"/>
        </w:rPr>
      </w:pPr>
    </w:p>
    <w:p w:rsidR="003D6E3F" w:rsidRDefault="003D6E3F" w:rsidP="003D6E3F">
      <w:pPr>
        <w:rPr>
          <w:rFonts w:cs="Arial"/>
          <w:b/>
          <w:color w:val="000000"/>
        </w:rPr>
      </w:pPr>
      <w:r w:rsidRPr="003D3EED">
        <w:rPr>
          <w:rFonts w:cs="Arial"/>
          <w:b/>
          <w:color w:val="000000"/>
        </w:rPr>
        <w:t>3.2 Bisherige Aufgabenwahrnehmung</w:t>
      </w:r>
    </w:p>
    <w:p w:rsidR="00472C3C" w:rsidRDefault="00472C3C" w:rsidP="00770C10">
      <w:pPr>
        <w:rPr>
          <w:rFonts w:cs="Arial"/>
          <w:color w:val="000000"/>
          <w:sz w:val="22"/>
          <w:szCs w:val="22"/>
        </w:rPr>
      </w:pPr>
    </w:p>
    <w:p w:rsidR="00CD3A7D" w:rsidRDefault="00CD3A7D" w:rsidP="00CD3A7D">
      <w:pPr>
        <w:autoSpaceDE w:val="0"/>
        <w:rPr>
          <w:rFonts w:eastAsia="Calibri" w:cs="Arial"/>
          <w:color w:val="000000"/>
          <w:lang w:eastAsia="en-US"/>
        </w:rPr>
      </w:pPr>
      <w:r>
        <w:rPr>
          <w:rFonts w:eastAsia="Calibri" w:cs="Arial"/>
          <w:color w:val="000000"/>
          <w:lang w:eastAsia="en-US"/>
        </w:rPr>
        <w:t>I</w:t>
      </w:r>
      <w:r w:rsidRPr="00B01E60">
        <w:rPr>
          <w:rFonts w:eastAsia="Calibri" w:cs="Arial"/>
          <w:color w:val="000000"/>
          <w:lang w:eastAsia="en-US"/>
        </w:rPr>
        <w:t xml:space="preserve">nzwischen </w:t>
      </w:r>
      <w:r>
        <w:rPr>
          <w:rFonts w:eastAsia="Calibri" w:cs="Arial"/>
          <w:color w:val="000000"/>
          <w:lang w:eastAsia="en-US"/>
        </w:rPr>
        <w:t xml:space="preserve">umfasst die Zentralaktei </w:t>
      </w:r>
      <w:r w:rsidR="007E6C6E">
        <w:rPr>
          <w:rFonts w:eastAsia="Calibri" w:cs="Arial"/>
          <w:color w:val="000000"/>
          <w:lang w:eastAsia="en-US"/>
        </w:rPr>
        <w:t>rd.</w:t>
      </w:r>
      <w:r w:rsidRPr="00B01E60">
        <w:rPr>
          <w:rFonts w:eastAsia="Calibri" w:cs="Arial"/>
          <w:color w:val="000000"/>
          <w:lang w:eastAsia="en-US"/>
        </w:rPr>
        <w:t xml:space="preserve"> 42.000 nicht laufende Akten von Leistungs</w:t>
      </w:r>
      <w:r>
        <w:rPr>
          <w:rFonts w:eastAsia="Calibri" w:cs="Arial"/>
          <w:color w:val="000000"/>
          <w:lang w:eastAsia="en-US"/>
        </w:rPr>
        <w:t>-</w:t>
      </w:r>
      <w:r w:rsidRPr="00B01E60">
        <w:rPr>
          <w:rFonts w:eastAsia="Calibri" w:cs="Arial"/>
          <w:color w:val="000000"/>
          <w:lang w:eastAsia="en-US"/>
        </w:rPr>
        <w:t xml:space="preserve">berechtigten im Rechtskreis SGB II. </w:t>
      </w:r>
    </w:p>
    <w:p w:rsidR="00556923" w:rsidRDefault="00556923" w:rsidP="00CD3A7D">
      <w:pPr>
        <w:autoSpaceDE w:val="0"/>
        <w:rPr>
          <w:rFonts w:eastAsia="Calibri" w:cs="Arial"/>
          <w:color w:val="000000"/>
          <w:lang w:eastAsia="en-US"/>
        </w:rPr>
      </w:pPr>
    </w:p>
    <w:p w:rsidR="007E6C6E" w:rsidRDefault="00843DDE" w:rsidP="00137FEA">
      <w:pPr>
        <w:suppressAutoHyphens w:val="0"/>
        <w:autoSpaceDE w:val="0"/>
        <w:adjustRightInd w:val="0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color w:val="000000"/>
          <w:lang w:eastAsia="en-US"/>
        </w:rPr>
        <w:t xml:space="preserve">Aktuelle </w:t>
      </w:r>
      <w:r w:rsidR="00451E3D">
        <w:rPr>
          <w:rFonts w:eastAsia="Calibri" w:cs="Arial"/>
          <w:color w:val="000000"/>
          <w:lang w:eastAsia="en-US"/>
        </w:rPr>
        <w:t xml:space="preserve">Auswertungen im </w:t>
      </w:r>
      <w:r w:rsidR="00451E3D" w:rsidRPr="000D18E2">
        <w:rPr>
          <w:rFonts w:eastAsia="Calibri" w:cs="Arial"/>
          <w:color w:val="000000"/>
          <w:lang w:eastAsia="en-US"/>
        </w:rPr>
        <w:t xml:space="preserve">Fachverfahren </w:t>
      </w:r>
      <w:r w:rsidR="00451E3D">
        <w:rPr>
          <w:rFonts w:eastAsia="Calibri" w:cs="Arial"/>
          <w:color w:val="000000"/>
          <w:lang w:eastAsia="en-US"/>
        </w:rPr>
        <w:t>LK</w:t>
      </w:r>
      <w:r>
        <w:rPr>
          <w:rFonts w:eastAsia="Calibri" w:cs="Arial"/>
          <w:color w:val="000000"/>
          <w:lang w:eastAsia="en-US"/>
        </w:rPr>
        <w:t xml:space="preserve"> erga</w:t>
      </w:r>
      <w:r w:rsidR="00451E3D">
        <w:rPr>
          <w:rFonts w:eastAsia="Calibri" w:cs="Arial"/>
          <w:color w:val="000000"/>
          <w:lang w:eastAsia="en-US"/>
        </w:rPr>
        <w:t>ben, dass i</w:t>
      </w:r>
      <w:r w:rsidR="00CD3A7D" w:rsidRPr="000D18E2">
        <w:rPr>
          <w:rFonts w:eastAsia="Calibri" w:cs="Arial"/>
          <w:color w:val="000000"/>
          <w:lang w:eastAsia="en-US"/>
        </w:rPr>
        <w:t xml:space="preserve">n den </w:t>
      </w:r>
      <w:r w:rsidR="00D6042C">
        <w:rPr>
          <w:rFonts w:eastAsia="Calibri" w:cs="Arial"/>
          <w:color w:val="000000"/>
          <w:lang w:eastAsia="en-US"/>
        </w:rPr>
        <w:t>Zweig- und Fachstellen</w:t>
      </w:r>
      <w:r w:rsidR="00CD3A7D" w:rsidRPr="000D18E2">
        <w:rPr>
          <w:rFonts w:eastAsia="Calibri" w:cs="Arial"/>
          <w:color w:val="000000"/>
          <w:lang w:eastAsia="en-US"/>
        </w:rPr>
        <w:t xml:space="preserve"> </w:t>
      </w:r>
      <w:r w:rsidR="00451E3D">
        <w:rPr>
          <w:rFonts w:eastAsia="Calibri" w:cs="Arial"/>
          <w:color w:val="000000"/>
          <w:lang w:eastAsia="en-US"/>
        </w:rPr>
        <w:t xml:space="preserve">rd. </w:t>
      </w:r>
      <w:r w:rsidR="00D6042C">
        <w:rPr>
          <w:rFonts w:eastAsia="Calibri" w:cs="Arial"/>
          <w:color w:val="000000"/>
          <w:lang w:eastAsia="en-US"/>
        </w:rPr>
        <w:t>20</w:t>
      </w:r>
      <w:r w:rsidR="00CD3A7D" w:rsidRPr="000D18E2">
        <w:rPr>
          <w:rFonts w:eastAsia="Calibri" w:cs="Arial"/>
          <w:color w:val="000000"/>
          <w:lang w:eastAsia="en-US"/>
        </w:rPr>
        <w:t>.</w:t>
      </w:r>
      <w:r w:rsidR="00D6042C">
        <w:rPr>
          <w:rFonts w:eastAsia="Calibri" w:cs="Arial"/>
          <w:color w:val="000000"/>
          <w:lang w:eastAsia="en-US"/>
        </w:rPr>
        <w:t>0</w:t>
      </w:r>
      <w:r w:rsidR="00CD3A7D" w:rsidRPr="000D18E2">
        <w:rPr>
          <w:rFonts w:eastAsia="Calibri" w:cs="Arial"/>
          <w:color w:val="000000"/>
          <w:lang w:eastAsia="en-US"/>
        </w:rPr>
        <w:t xml:space="preserve">00 </w:t>
      </w:r>
      <w:r w:rsidR="00082F8B" w:rsidRPr="000D18E2">
        <w:rPr>
          <w:rFonts w:eastAsia="Calibri" w:cs="Arial"/>
          <w:color w:val="000000"/>
          <w:lang w:eastAsia="en-US"/>
        </w:rPr>
        <w:t>weitere</w:t>
      </w:r>
      <w:r w:rsidR="00082F8B">
        <w:rPr>
          <w:rFonts w:eastAsia="Calibri" w:cs="Arial"/>
          <w:color w:val="000000"/>
          <w:lang w:eastAsia="en-US"/>
        </w:rPr>
        <w:t xml:space="preserve"> </w:t>
      </w:r>
      <w:r w:rsidR="00CD3A7D">
        <w:rPr>
          <w:rFonts w:eastAsia="Calibri" w:cs="Arial"/>
          <w:color w:val="000000"/>
          <w:lang w:eastAsia="en-US"/>
        </w:rPr>
        <w:t>Akten</w:t>
      </w:r>
      <w:r w:rsidR="00CD3A7D" w:rsidRPr="000D18E2">
        <w:rPr>
          <w:rFonts w:eastAsia="Calibri" w:cs="Arial"/>
          <w:color w:val="000000"/>
          <w:lang w:eastAsia="en-US"/>
        </w:rPr>
        <w:t xml:space="preserve"> </w:t>
      </w:r>
      <w:r w:rsidR="00451E3D">
        <w:rPr>
          <w:rFonts w:eastAsia="Calibri" w:cs="Arial"/>
          <w:color w:val="000000"/>
          <w:lang w:eastAsia="en-US"/>
        </w:rPr>
        <w:t>abgabefähig</w:t>
      </w:r>
      <w:r w:rsidR="00451E3D" w:rsidRPr="000D18E2">
        <w:rPr>
          <w:rFonts w:eastAsia="Calibri" w:cs="Arial"/>
          <w:color w:val="000000"/>
          <w:lang w:eastAsia="en-US"/>
        </w:rPr>
        <w:t xml:space="preserve"> </w:t>
      </w:r>
      <w:r w:rsidR="00451E3D">
        <w:rPr>
          <w:rFonts w:eastAsia="Calibri" w:cs="Arial"/>
          <w:color w:val="000000"/>
          <w:lang w:eastAsia="en-US"/>
        </w:rPr>
        <w:t>sind.</w:t>
      </w:r>
      <w:r w:rsidR="00CD3A7D" w:rsidRPr="000D18E2">
        <w:rPr>
          <w:rFonts w:eastAsia="Calibri" w:cs="Arial"/>
          <w:color w:val="000000"/>
          <w:lang w:eastAsia="en-US"/>
        </w:rPr>
        <w:t xml:space="preserve"> </w:t>
      </w:r>
      <w:r w:rsidR="00861FE4">
        <w:rPr>
          <w:rFonts w:eastAsia="Calibri" w:cs="Arial"/>
          <w:lang w:eastAsia="en-US"/>
        </w:rPr>
        <w:t>Darüber</w:t>
      </w:r>
      <w:r w:rsidR="00451E3D">
        <w:rPr>
          <w:rFonts w:eastAsia="Calibri" w:cs="Arial"/>
          <w:lang w:eastAsia="en-US"/>
        </w:rPr>
        <w:t xml:space="preserve"> </w:t>
      </w:r>
      <w:r w:rsidR="00861FE4">
        <w:rPr>
          <w:rFonts w:eastAsia="Calibri" w:cs="Arial"/>
          <w:lang w:eastAsia="en-US"/>
        </w:rPr>
        <w:t xml:space="preserve">hinaus </w:t>
      </w:r>
      <w:r w:rsidR="00C128DE">
        <w:rPr>
          <w:rFonts w:eastAsia="Calibri" w:cs="Arial"/>
          <w:lang w:eastAsia="en-US"/>
        </w:rPr>
        <w:t xml:space="preserve">ist von jährlich </w:t>
      </w:r>
      <w:r w:rsidR="001C753C">
        <w:rPr>
          <w:rFonts w:eastAsia="Calibri" w:cs="Arial"/>
          <w:lang w:eastAsia="en-US"/>
        </w:rPr>
        <w:t>rd.</w:t>
      </w:r>
      <w:r w:rsidR="00C128DE">
        <w:rPr>
          <w:rFonts w:eastAsia="Calibri" w:cs="Arial"/>
          <w:lang w:eastAsia="en-US"/>
        </w:rPr>
        <w:t xml:space="preserve"> weiteren</w:t>
      </w:r>
      <w:r w:rsidR="001C753C">
        <w:rPr>
          <w:rFonts w:eastAsia="Calibri" w:cs="Arial"/>
          <w:lang w:eastAsia="en-US"/>
        </w:rPr>
        <w:t xml:space="preserve"> </w:t>
      </w:r>
      <w:r w:rsidR="00861FE4">
        <w:rPr>
          <w:rFonts w:eastAsia="Calibri" w:cs="Arial"/>
          <w:lang w:eastAsia="en-US"/>
        </w:rPr>
        <w:t>4.300 abgabefähi</w:t>
      </w:r>
      <w:r w:rsidR="007E6C6E">
        <w:rPr>
          <w:rFonts w:eastAsia="Calibri" w:cs="Arial"/>
          <w:lang w:eastAsia="en-US"/>
        </w:rPr>
        <w:t>ge</w:t>
      </w:r>
      <w:r w:rsidR="00861FE4">
        <w:rPr>
          <w:rFonts w:eastAsia="Calibri" w:cs="Arial"/>
          <w:lang w:eastAsia="en-US"/>
        </w:rPr>
        <w:t xml:space="preserve"> Akten aus dem laufenden Betrieb </w:t>
      </w:r>
      <w:r w:rsidR="00C128DE">
        <w:rPr>
          <w:rFonts w:eastAsia="Calibri" w:cs="Arial"/>
          <w:lang w:eastAsia="en-US"/>
        </w:rPr>
        <w:t xml:space="preserve">auszugehen, die </w:t>
      </w:r>
      <w:r w:rsidR="007E6C6E">
        <w:rPr>
          <w:rFonts w:eastAsia="Calibri" w:cs="Arial"/>
          <w:lang w:eastAsia="en-US"/>
        </w:rPr>
        <w:t>der Zentralaktei zugesandt</w:t>
      </w:r>
      <w:r w:rsidR="00C128DE">
        <w:rPr>
          <w:rFonts w:eastAsia="Calibri" w:cs="Arial"/>
          <w:lang w:eastAsia="en-US"/>
        </w:rPr>
        <w:t xml:space="preserve"> werden</w:t>
      </w:r>
      <w:r w:rsidR="00861FE4">
        <w:rPr>
          <w:rFonts w:eastAsia="Calibri" w:cs="Arial"/>
          <w:lang w:eastAsia="en-US"/>
        </w:rPr>
        <w:t>.</w:t>
      </w:r>
    </w:p>
    <w:p w:rsidR="00CD3A7D" w:rsidRDefault="00CD3A7D" w:rsidP="00CD3A7D">
      <w:pPr>
        <w:rPr>
          <w:rFonts w:eastAsia="Calibri" w:cs="Arial"/>
          <w:lang w:eastAsia="en-US"/>
        </w:rPr>
      </w:pPr>
    </w:p>
    <w:p w:rsidR="00336D0C" w:rsidRDefault="00336D0C" w:rsidP="00850D4D">
      <w:pPr>
        <w:rPr>
          <w:rFonts w:eastAsia="Calibri" w:cs="Arial"/>
          <w:lang w:eastAsia="en-US"/>
        </w:rPr>
      </w:pPr>
      <w:r>
        <w:rPr>
          <w:rFonts w:eastAsia="Calibri" w:cs="Arial"/>
          <w:color w:val="000000"/>
          <w:lang w:eastAsia="en-US"/>
        </w:rPr>
        <w:t xml:space="preserve">Im </w:t>
      </w:r>
      <w:r w:rsidR="00CE7330">
        <w:rPr>
          <w:rFonts w:eastAsia="Calibri" w:cs="Arial"/>
          <w:color w:val="000000"/>
          <w:lang w:eastAsia="en-US"/>
        </w:rPr>
        <w:t xml:space="preserve">Durchschnitt </w:t>
      </w:r>
      <w:r>
        <w:rPr>
          <w:rFonts w:eastAsia="Calibri" w:cs="Arial"/>
          <w:color w:val="000000"/>
          <w:lang w:eastAsia="en-US"/>
        </w:rPr>
        <w:t>werden</w:t>
      </w:r>
      <w:r w:rsidR="00137FEA">
        <w:rPr>
          <w:rFonts w:eastAsia="Calibri" w:cs="Arial"/>
          <w:color w:val="000000"/>
          <w:lang w:eastAsia="en-US"/>
        </w:rPr>
        <w:t xml:space="preserve"> </w:t>
      </w:r>
      <w:r w:rsidR="00341ED1">
        <w:rPr>
          <w:rFonts w:eastAsia="Calibri" w:cs="Arial"/>
          <w:color w:val="000000"/>
          <w:lang w:eastAsia="en-US"/>
        </w:rPr>
        <w:t>jähr</w:t>
      </w:r>
      <w:r w:rsidR="00137FEA">
        <w:rPr>
          <w:rFonts w:eastAsia="Calibri" w:cs="Arial"/>
          <w:color w:val="000000"/>
          <w:lang w:eastAsia="en-US"/>
        </w:rPr>
        <w:t>lich</w:t>
      </w:r>
      <w:r>
        <w:rPr>
          <w:rFonts w:eastAsia="Calibri" w:cs="Arial"/>
          <w:color w:val="000000"/>
          <w:lang w:eastAsia="en-US"/>
        </w:rPr>
        <w:t xml:space="preserve"> </w:t>
      </w:r>
      <w:r w:rsidR="00C128DE">
        <w:rPr>
          <w:rFonts w:eastAsia="Calibri" w:cs="Arial"/>
          <w:color w:val="000000"/>
          <w:lang w:eastAsia="en-US"/>
        </w:rPr>
        <w:t>aktuell</w:t>
      </w:r>
      <w:r w:rsidR="00137FEA">
        <w:rPr>
          <w:rFonts w:eastAsia="Calibri" w:cs="Arial"/>
          <w:color w:val="000000"/>
          <w:lang w:eastAsia="en-US"/>
        </w:rPr>
        <w:t xml:space="preserve"> </w:t>
      </w:r>
      <w:r>
        <w:rPr>
          <w:rFonts w:eastAsia="Calibri" w:cs="Arial"/>
          <w:color w:val="000000"/>
          <w:lang w:eastAsia="en-US"/>
        </w:rPr>
        <w:t xml:space="preserve">rd. </w:t>
      </w:r>
      <w:r w:rsidR="00341ED1">
        <w:rPr>
          <w:rFonts w:eastAsia="Calibri" w:cs="Arial"/>
          <w:color w:val="000000"/>
          <w:lang w:eastAsia="en-US"/>
        </w:rPr>
        <w:t>2.4</w:t>
      </w:r>
      <w:r w:rsidR="00137FEA">
        <w:rPr>
          <w:rFonts w:eastAsia="Calibri" w:cs="Arial"/>
          <w:color w:val="000000"/>
          <w:lang w:eastAsia="en-US"/>
        </w:rPr>
        <w:t xml:space="preserve">00 </w:t>
      </w:r>
      <w:r w:rsidR="00CE7330">
        <w:rPr>
          <w:rFonts w:eastAsia="Calibri" w:cs="Arial"/>
          <w:color w:val="000000"/>
          <w:lang w:eastAsia="en-US"/>
        </w:rPr>
        <w:t>Akten von den Zweig- und Fachstellen angefordert.</w:t>
      </w:r>
      <w:r w:rsidR="00F4045B">
        <w:rPr>
          <w:rFonts w:eastAsia="Calibri" w:cs="Arial"/>
          <w:color w:val="000000"/>
          <w:lang w:eastAsia="en-US"/>
        </w:rPr>
        <w:t xml:space="preserve"> </w:t>
      </w:r>
    </w:p>
    <w:p w:rsidR="00AD27A3" w:rsidRDefault="00AD27A3" w:rsidP="00336D0C">
      <w:pPr>
        <w:suppressAutoHyphens w:val="0"/>
        <w:autoSpaceDE w:val="0"/>
        <w:adjustRightInd w:val="0"/>
        <w:textAlignment w:val="auto"/>
        <w:rPr>
          <w:rFonts w:cs="Arial"/>
          <w:color w:val="000000"/>
          <w:kern w:val="0"/>
          <w:lang w:bidi="ar-SA"/>
        </w:rPr>
      </w:pPr>
    </w:p>
    <w:p w:rsidR="00357AF0" w:rsidRDefault="001976B7" w:rsidP="00357AF0">
      <w:pPr>
        <w:rPr>
          <w:rFonts w:eastAsia="Calibri" w:cs="Arial"/>
          <w:color w:val="000000"/>
          <w:lang w:eastAsia="en-US"/>
        </w:rPr>
      </w:pPr>
      <w:r>
        <w:rPr>
          <w:rFonts w:eastAsia="Calibri" w:cs="Arial"/>
          <w:color w:val="000000"/>
          <w:lang w:eastAsia="en-US"/>
        </w:rPr>
        <w:t xml:space="preserve">Im Jahr 2017 </w:t>
      </w:r>
      <w:r w:rsidR="00AD27A3">
        <w:rPr>
          <w:rFonts w:eastAsia="Calibri" w:cs="Arial"/>
          <w:color w:val="000000"/>
          <w:lang w:eastAsia="en-US"/>
        </w:rPr>
        <w:t xml:space="preserve">wird </w:t>
      </w:r>
      <w:r>
        <w:rPr>
          <w:rFonts w:eastAsia="Calibri" w:cs="Arial"/>
          <w:color w:val="000000"/>
          <w:lang w:eastAsia="en-US"/>
        </w:rPr>
        <w:t xml:space="preserve">erstmalig eine Aufgabe </w:t>
      </w:r>
      <w:r w:rsidR="00AD27A3">
        <w:rPr>
          <w:rFonts w:eastAsia="Calibri" w:cs="Arial"/>
          <w:color w:val="000000"/>
          <w:lang w:eastAsia="en-US"/>
        </w:rPr>
        <w:t xml:space="preserve">in der </w:t>
      </w:r>
      <w:r>
        <w:rPr>
          <w:rFonts w:eastAsia="Calibri" w:cs="Arial"/>
          <w:color w:val="000000"/>
          <w:lang w:eastAsia="en-US"/>
        </w:rPr>
        <w:t xml:space="preserve">Zentralaktei </w:t>
      </w:r>
      <w:r w:rsidR="00AD27A3">
        <w:rPr>
          <w:rFonts w:eastAsia="Calibri" w:cs="Arial"/>
          <w:color w:val="000000"/>
          <w:lang w:eastAsia="en-US"/>
        </w:rPr>
        <w:t>im</w:t>
      </w:r>
      <w:r>
        <w:rPr>
          <w:rFonts w:eastAsia="Calibri" w:cs="Arial"/>
          <w:color w:val="000000"/>
          <w:lang w:eastAsia="en-US"/>
        </w:rPr>
        <w:t xml:space="preserve"> Zusammenhang mit de</w:t>
      </w:r>
      <w:r w:rsidR="00341ED1">
        <w:rPr>
          <w:rFonts w:eastAsia="Calibri" w:cs="Arial"/>
          <w:color w:val="000000"/>
          <w:lang w:eastAsia="en-US"/>
        </w:rPr>
        <w:t>n</w:t>
      </w:r>
      <w:r>
        <w:rPr>
          <w:rFonts w:eastAsia="Calibri" w:cs="Arial"/>
          <w:color w:val="000000"/>
          <w:lang w:eastAsia="en-US"/>
        </w:rPr>
        <w:t xml:space="preserve"> </w:t>
      </w:r>
      <w:r w:rsidR="00341ED1">
        <w:rPr>
          <w:rFonts w:eastAsia="Calibri" w:cs="Arial"/>
          <w:color w:val="000000"/>
          <w:lang w:eastAsia="en-US"/>
        </w:rPr>
        <w:t xml:space="preserve">gesetzlichen </w:t>
      </w:r>
      <w:r>
        <w:rPr>
          <w:rFonts w:eastAsia="Calibri" w:cs="Arial"/>
          <w:color w:val="000000"/>
          <w:lang w:eastAsia="en-US"/>
        </w:rPr>
        <w:t>Aufbewahrungsfrist</w:t>
      </w:r>
      <w:r w:rsidR="00341ED1">
        <w:rPr>
          <w:rFonts w:eastAsia="Calibri" w:cs="Arial"/>
          <w:color w:val="000000"/>
          <w:lang w:eastAsia="en-US"/>
        </w:rPr>
        <w:t>en</w:t>
      </w:r>
      <w:r>
        <w:rPr>
          <w:rFonts w:eastAsia="Calibri" w:cs="Arial"/>
          <w:color w:val="000000"/>
          <w:lang w:eastAsia="en-US"/>
        </w:rPr>
        <w:t xml:space="preserve"> von Akten</w:t>
      </w:r>
      <w:r w:rsidR="00C128DE">
        <w:rPr>
          <w:rFonts w:eastAsia="Calibri" w:cs="Arial"/>
          <w:color w:val="000000"/>
          <w:lang w:eastAsia="en-US"/>
        </w:rPr>
        <w:t xml:space="preserve"> relevant</w:t>
      </w:r>
      <w:r>
        <w:rPr>
          <w:rFonts w:eastAsia="Calibri" w:cs="Arial"/>
          <w:color w:val="000000"/>
          <w:lang w:eastAsia="en-US"/>
        </w:rPr>
        <w:t xml:space="preserve">. </w:t>
      </w:r>
      <w:r w:rsidR="00843DDE">
        <w:rPr>
          <w:rFonts w:eastAsia="Calibri" w:cs="Arial"/>
          <w:color w:val="000000"/>
          <w:lang w:eastAsia="en-US"/>
        </w:rPr>
        <w:t xml:space="preserve">Zukünftig ist </w:t>
      </w:r>
      <w:r w:rsidR="002535EF">
        <w:rPr>
          <w:rFonts w:eastAsia="Calibri" w:cs="Arial"/>
          <w:color w:val="000000"/>
          <w:lang w:eastAsia="en-US"/>
        </w:rPr>
        <w:t>von einer jährlichen</w:t>
      </w:r>
      <w:r w:rsidR="00C128DE">
        <w:rPr>
          <w:rFonts w:eastAsia="Calibri" w:cs="Arial"/>
          <w:color w:val="000000"/>
          <w:lang w:eastAsia="en-US"/>
        </w:rPr>
        <w:t xml:space="preserve"> Bearbeitung von </w:t>
      </w:r>
      <w:r w:rsidR="002535EF">
        <w:rPr>
          <w:rFonts w:eastAsia="Calibri" w:cs="Arial"/>
          <w:color w:val="000000"/>
          <w:lang w:eastAsia="en-US"/>
        </w:rPr>
        <w:t xml:space="preserve">mindestens </w:t>
      </w:r>
      <w:r w:rsidR="00843DDE">
        <w:rPr>
          <w:rFonts w:eastAsia="Calibri" w:cs="Arial"/>
          <w:color w:val="000000"/>
          <w:lang w:eastAsia="en-US"/>
        </w:rPr>
        <w:t>rd.</w:t>
      </w:r>
      <w:r w:rsidR="00970A36">
        <w:rPr>
          <w:rFonts w:eastAsia="Calibri" w:cs="Arial"/>
          <w:color w:val="000000"/>
          <w:lang w:eastAsia="en-US"/>
        </w:rPr>
        <w:t xml:space="preserve"> </w:t>
      </w:r>
      <w:r w:rsidR="00843DDE">
        <w:rPr>
          <w:rFonts w:eastAsia="Calibri" w:cs="Arial"/>
          <w:color w:val="000000"/>
          <w:lang w:eastAsia="en-US"/>
        </w:rPr>
        <w:t>3.</w:t>
      </w:r>
      <w:r w:rsidR="002535EF">
        <w:rPr>
          <w:rFonts w:eastAsia="Calibri" w:cs="Arial"/>
          <w:color w:val="000000"/>
          <w:lang w:eastAsia="en-US"/>
        </w:rPr>
        <w:t>5</w:t>
      </w:r>
      <w:r w:rsidR="00843DDE">
        <w:rPr>
          <w:rFonts w:eastAsia="Calibri" w:cs="Arial"/>
          <w:color w:val="000000"/>
          <w:lang w:eastAsia="en-US"/>
        </w:rPr>
        <w:t xml:space="preserve">00 </w:t>
      </w:r>
      <w:r w:rsidR="00970A36">
        <w:rPr>
          <w:rFonts w:eastAsia="Calibri" w:cs="Arial"/>
          <w:color w:val="000000"/>
          <w:lang w:eastAsia="en-US"/>
        </w:rPr>
        <w:t xml:space="preserve">Akten </w:t>
      </w:r>
      <w:r w:rsidR="002535EF">
        <w:rPr>
          <w:rFonts w:eastAsia="Calibri" w:cs="Arial"/>
          <w:color w:val="000000"/>
          <w:lang w:eastAsia="en-US"/>
        </w:rPr>
        <w:t xml:space="preserve">(mit steigender Tendenz) </w:t>
      </w:r>
      <w:r w:rsidR="00970A36">
        <w:rPr>
          <w:rFonts w:eastAsia="Calibri" w:cs="Arial"/>
          <w:color w:val="000000"/>
          <w:lang w:eastAsia="en-US"/>
        </w:rPr>
        <w:t xml:space="preserve">aufgrund des Ablaufs der Aufbewahrungsfrist </w:t>
      </w:r>
      <w:r w:rsidR="00C128DE">
        <w:rPr>
          <w:rFonts w:eastAsia="Calibri" w:cs="Arial"/>
          <w:color w:val="000000"/>
          <w:lang w:eastAsia="en-US"/>
        </w:rPr>
        <w:t>auszugehen</w:t>
      </w:r>
      <w:r w:rsidR="00F133A8">
        <w:rPr>
          <w:rFonts w:eastAsia="Calibri" w:cs="Arial"/>
          <w:color w:val="000000"/>
          <w:lang w:eastAsia="en-US"/>
        </w:rPr>
        <w:t>.</w:t>
      </w:r>
    </w:p>
    <w:p w:rsidR="00326969" w:rsidRDefault="00326969" w:rsidP="00357AF0">
      <w:pPr>
        <w:rPr>
          <w:rFonts w:eastAsia="Calibri" w:cs="Arial"/>
          <w:color w:val="000000"/>
          <w:lang w:eastAsia="en-US"/>
        </w:rPr>
      </w:pPr>
    </w:p>
    <w:p w:rsidR="00836B5A" w:rsidRDefault="00326969" w:rsidP="00357AF0">
      <w:pPr>
        <w:rPr>
          <w:rFonts w:eastAsia="Calibri" w:cs="Arial"/>
          <w:color w:val="000000"/>
          <w:lang w:eastAsia="en-US"/>
        </w:rPr>
      </w:pPr>
      <w:r>
        <w:rPr>
          <w:rFonts w:eastAsia="Calibri" w:cs="Arial"/>
          <w:color w:val="000000"/>
          <w:lang w:eastAsia="en-US"/>
        </w:rPr>
        <w:t xml:space="preserve">Die Entwicklung der Arbeitsvermehrung </w:t>
      </w:r>
      <w:r w:rsidR="00836B5A">
        <w:rPr>
          <w:rFonts w:eastAsia="Calibri" w:cs="Arial"/>
          <w:color w:val="000000"/>
          <w:lang w:eastAsia="en-US"/>
        </w:rPr>
        <w:t xml:space="preserve">in den Jahren 2015 und 2016 </w:t>
      </w:r>
      <w:r>
        <w:rPr>
          <w:rFonts w:eastAsia="Calibri" w:cs="Arial"/>
          <w:color w:val="000000"/>
          <w:lang w:eastAsia="en-US"/>
        </w:rPr>
        <w:t xml:space="preserve">stellt sich </w:t>
      </w:r>
      <w:r w:rsidR="00836B5A">
        <w:rPr>
          <w:rFonts w:eastAsia="Calibri" w:cs="Arial"/>
          <w:color w:val="000000"/>
          <w:lang w:eastAsia="en-US"/>
        </w:rPr>
        <w:t>im Überblick wie folgt dar:</w:t>
      </w:r>
    </w:p>
    <w:p w:rsidR="00836B5A" w:rsidRDefault="00836B5A" w:rsidP="00357AF0">
      <w:pPr>
        <w:rPr>
          <w:rFonts w:eastAsia="Calibri" w:cs="Arial"/>
          <w:color w:val="000000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701"/>
        <w:gridCol w:w="1559"/>
      </w:tblGrid>
      <w:tr w:rsidR="00836B5A" w:rsidTr="00836B5A">
        <w:tc>
          <w:tcPr>
            <w:tcW w:w="4219" w:type="dxa"/>
            <w:shd w:val="clear" w:color="auto" w:fill="D9D9D9" w:themeFill="background1" w:themeFillShade="D9"/>
          </w:tcPr>
          <w:p w:rsidR="00836B5A" w:rsidRDefault="00326969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 </w:t>
            </w:r>
          </w:p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  <w:r>
              <w:rPr>
                <w:rFonts w:cs="Arial"/>
              </w:rPr>
              <w:t>Aufgaben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</w:p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  <w:r>
              <w:rPr>
                <w:rFonts w:cs="Arial"/>
              </w:rPr>
              <w:t>12/2014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</w:p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  <w:r>
              <w:rPr>
                <w:rFonts w:cs="Arial"/>
              </w:rPr>
              <w:t>12/2016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</w:p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  <w:r>
              <w:rPr>
                <w:rFonts w:cs="Arial"/>
              </w:rPr>
              <w:t>Arbeits-vermehrung</w:t>
            </w:r>
          </w:p>
        </w:tc>
      </w:tr>
      <w:tr w:rsidR="00836B5A" w:rsidTr="00836B5A">
        <w:tc>
          <w:tcPr>
            <w:tcW w:w="4219" w:type="dxa"/>
          </w:tcPr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</w:p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  <w:r>
              <w:rPr>
                <w:rFonts w:cs="Arial"/>
              </w:rPr>
              <w:t>Aktenbestand in Zentralaktei</w:t>
            </w:r>
          </w:p>
        </w:tc>
        <w:tc>
          <w:tcPr>
            <w:tcW w:w="1701" w:type="dxa"/>
          </w:tcPr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</w:p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  <w:r>
              <w:rPr>
                <w:rFonts w:cs="Arial"/>
              </w:rPr>
              <w:t>31.000 Akten</w:t>
            </w:r>
          </w:p>
        </w:tc>
        <w:tc>
          <w:tcPr>
            <w:tcW w:w="1701" w:type="dxa"/>
          </w:tcPr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</w:p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  <w:r>
              <w:rPr>
                <w:rFonts w:cs="Arial"/>
              </w:rPr>
              <w:t>42.000 Akten</w:t>
            </w:r>
          </w:p>
        </w:tc>
        <w:tc>
          <w:tcPr>
            <w:tcW w:w="1559" w:type="dxa"/>
          </w:tcPr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</w:p>
          <w:p w:rsidR="00836B5A" w:rsidRDefault="00836B5A" w:rsidP="0081036C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+   </w:t>
            </w:r>
            <w:r w:rsidR="0081036C">
              <w:rPr>
                <w:rFonts w:cs="Arial"/>
              </w:rPr>
              <w:t>35</w:t>
            </w:r>
            <w:r>
              <w:rPr>
                <w:rFonts w:cs="Arial"/>
              </w:rPr>
              <w:t>%</w:t>
            </w:r>
          </w:p>
        </w:tc>
      </w:tr>
      <w:tr w:rsidR="00836B5A" w:rsidTr="00836B5A">
        <w:tc>
          <w:tcPr>
            <w:tcW w:w="4219" w:type="dxa"/>
          </w:tcPr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</w:p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  <w:r>
              <w:rPr>
                <w:rFonts w:cs="Arial"/>
              </w:rPr>
              <w:t>Durchschnittliche lfd. Aktenabgabe der Dienststellen jährlich</w:t>
            </w:r>
          </w:p>
        </w:tc>
        <w:tc>
          <w:tcPr>
            <w:tcW w:w="1701" w:type="dxa"/>
          </w:tcPr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</w:p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4.400 Akten</w:t>
            </w:r>
          </w:p>
        </w:tc>
        <w:tc>
          <w:tcPr>
            <w:tcW w:w="1701" w:type="dxa"/>
          </w:tcPr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</w:p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5.500 Akten</w:t>
            </w:r>
          </w:p>
        </w:tc>
        <w:tc>
          <w:tcPr>
            <w:tcW w:w="1559" w:type="dxa"/>
          </w:tcPr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</w:p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+   25%</w:t>
            </w:r>
          </w:p>
        </w:tc>
      </w:tr>
      <w:tr w:rsidR="00836B5A" w:rsidTr="00836B5A">
        <w:tc>
          <w:tcPr>
            <w:tcW w:w="4219" w:type="dxa"/>
          </w:tcPr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</w:p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  <w:r>
              <w:rPr>
                <w:rFonts w:cs="Arial"/>
              </w:rPr>
              <w:t>Durchschnittliche lfd. Akten-anforderungen der Dienststellen jährlich</w:t>
            </w:r>
          </w:p>
        </w:tc>
        <w:tc>
          <w:tcPr>
            <w:tcW w:w="1701" w:type="dxa"/>
          </w:tcPr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1.800 Akten</w:t>
            </w:r>
          </w:p>
        </w:tc>
        <w:tc>
          <w:tcPr>
            <w:tcW w:w="1701" w:type="dxa"/>
          </w:tcPr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2.400 Akten</w:t>
            </w:r>
          </w:p>
        </w:tc>
        <w:tc>
          <w:tcPr>
            <w:tcW w:w="1559" w:type="dxa"/>
          </w:tcPr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</w:p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+   33%</w:t>
            </w:r>
          </w:p>
        </w:tc>
      </w:tr>
      <w:tr w:rsidR="00836B5A" w:rsidTr="00836B5A">
        <w:tc>
          <w:tcPr>
            <w:tcW w:w="4219" w:type="dxa"/>
          </w:tcPr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</w:p>
          <w:p w:rsidR="00836B5A" w:rsidRDefault="00836B5A" w:rsidP="00607ED8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  <w:r>
              <w:rPr>
                <w:rFonts w:cs="Arial"/>
              </w:rPr>
              <w:t>Aktenvernichtung j</w:t>
            </w:r>
            <w:r w:rsidR="00607ED8">
              <w:rPr>
                <w:rFonts w:cs="Arial"/>
              </w:rPr>
              <w:t>ä</w:t>
            </w:r>
            <w:r>
              <w:rPr>
                <w:rFonts w:cs="Arial"/>
              </w:rPr>
              <w:t>hrlich</w:t>
            </w:r>
          </w:p>
        </w:tc>
        <w:tc>
          <w:tcPr>
            <w:tcW w:w="1701" w:type="dxa"/>
          </w:tcPr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</w:p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01" w:type="dxa"/>
          </w:tcPr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</w:p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3.100 Akten</w:t>
            </w:r>
          </w:p>
        </w:tc>
        <w:tc>
          <w:tcPr>
            <w:tcW w:w="1559" w:type="dxa"/>
          </w:tcPr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</w:p>
          <w:p w:rsidR="00836B5A" w:rsidRDefault="00836B5A" w:rsidP="006D406D">
            <w:pPr>
              <w:tabs>
                <w:tab w:val="left" w:pos="4678"/>
                <w:tab w:val="left" w:pos="595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 + 100%</w:t>
            </w:r>
          </w:p>
        </w:tc>
      </w:tr>
    </w:tbl>
    <w:p w:rsidR="00501F3C" w:rsidRPr="00501F3C" w:rsidRDefault="00501F3C" w:rsidP="00501F3C"/>
    <w:p w:rsidR="00862EF6" w:rsidRPr="0092685D" w:rsidRDefault="003D6E3F" w:rsidP="00862EF6">
      <w:pPr>
        <w:pStyle w:val="berschrift2"/>
        <w:spacing w:before="0"/>
        <w:rPr>
          <w:rFonts w:ascii="Arial" w:hAnsi="Arial" w:cs="Arial"/>
          <w:color w:val="auto"/>
          <w:sz w:val="24"/>
          <w:szCs w:val="24"/>
        </w:rPr>
      </w:pPr>
      <w:r w:rsidRPr="0092685D">
        <w:rPr>
          <w:rFonts w:ascii="Arial" w:hAnsi="Arial" w:cs="Arial"/>
          <w:color w:val="auto"/>
          <w:sz w:val="24"/>
          <w:szCs w:val="24"/>
        </w:rPr>
        <w:t>3.</w:t>
      </w:r>
      <w:r w:rsidR="00501D8D">
        <w:rPr>
          <w:rFonts w:ascii="Arial" w:hAnsi="Arial" w:cs="Arial"/>
          <w:color w:val="auto"/>
          <w:sz w:val="24"/>
          <w:szCs w:val="24"/>
        </w:rPr>
        <w:t>3</w:t>
      </w:r>
      <w:r w:rsidRPr="0092685D">
        <w:rPr>
          <w:rFonts w:ascii="Arial" w:hAnsi="Arial" w:cs="Arial"/>
          <w:color w:val="auto"/>
          <w:sz w:val="24"/>
          <w:szCs w:val="24"/>
        </w:rPr>
        <w:t xml:space="preserve"> Auswirkungen bei Ablehnung der Stellenschaffunge</w:t>
      </w:r>
      <w:r w:rsidR="00862EF6" w:rsidRPr="0092685D">
        <w:rPr>
          <w:rFonts w:ascii="Arial" w:hAnsi="Arial" w:cs="Arial"/>
          <w:color w:val="auto"/>
          <w:sz w:val="24"/>
          <w:szCs w:val="24"/>
        </w:rPr>
        <w:t>n</w:t>
      </w:r>
    </w:p>
    <w:p w:rsidR="003C14BD" w:rsidRPr="00BD72C5" w:rsidRDefault="003C14BD">
      <w:pPr>
        <w:rPr>
          <w:rFonts w:cs="Arial"/>
        </w:rPr>
      </w:pPr>
    </w:p>
    <w:p w:rsidR="00EB7CC3" w:rsidRDefault="00A12B29" w:rsidP="00EB7CC3">
      <w:pPr>
        <w:tabs>
          <w:tab w:val="left" w:pos="4678"/>
          <w:tab w:val="left" w:pos="5954"/>
        </w:tabs>
      </w:pPr>
      <w:r>
        <w:rPr>
          <w:rFonts w:cs="Arial"/>
        </w:rPr>
        <w:t>Mit den aktuell 1,5 Stellen ist eine reibungslose</w:t>
      </w:r>
      <w:r w:rsidR="00843DDE">
        <w:rPr>
          <w:rFonts w:cs="Arial"/>
        </w:rPr>
        <w:t xml:space="preserve"> und zeitnahe</w:t>
      </w:r>
      <w:r>
        <w:rPr>
          <w:rFonts w:cs="Arial"/>
        </w:rPr>
        <w:t xml:space="preserve"> Bearbei</w:t>
      </w:r>
      <w:r w:rsidR="00843DDE">
        <w:rPr>
          <w:rFonts w:cs="Arial"/>
        </w:rPr>
        <w:t>tung der Aufgaben</w:t>
      </w:r>
      <w:r>
        <w:rPr>
          <w:rFonts w:cs="Arial"/>
        </w:rPr>
        <w:t xml:space="preserve"> </w:t>
      </w:r>
      <w:r w:rsidR="00843DDE">
        <w:rPr>
          <w:rFonts w:cs="Arial"/>
        </w:rPr>
        <w:t xml:space="preserve">der Zentralaktei </w:t>
      </w:r>
      <w:r>
        <w:rPr>
          <w:rFonts w:cs="Arial"/>
        </w:rPr>
        <w:t>nicht gewährleistet und die gerichtsfeste Archivierung aller relevanten Aktenteile einer Bedarfsgemeinschaft nicht möglich.</w:t>
      </w:r>
      <w:r w:rsidR="005257C9" w:rsidRPr="00CE7330">
        <w:rPr>
          <w:rFonts w:cs="Arial"/>
        </w:rPr>
        <w:t xml:space="preserve"> </w:t>
      </w:r>
      <w:r w:rsidR="00C747C7" w:rsidRPr="00CE7330">
        <w:rPr>
          <w:rFonts w:cs="Arial"/>
        </w:rPr>
        <w:t xml:space="preserve"> </w:t>
      </w:r>
    </w:p>
    <w:p w:rsidR="00EB7CC3" w:rsidRDefault="00EB7CC3" w:rsidP="00EB7CC3">
      <w:pPr>
        <w:pStyle w:val="berschrift1"/>
      </w:pPr>
      <w:r>
        <w:t>4.</w:t>
      </w:r>
      <w:r>
        <w:tab/>
        <w:t>Stellenvermerke</w:t>
      </w:r>
    </w:p>
    <w:p w:rsidR="00EB7CC3" w:rsidRDefault="00EB7CC3" w:rsidP="008F6FC8">
      <w:pPr>
        <w:tabs>
          <w:tab w:val="left" w:pos="4678"/>
          <w:tab w:val="left" w:pos="5954"/>
        </w:tabs>
        <w:rPr>
          <w:rFonts w:cs="Arial"/>
        </w:rPr>
      </w:pPr>
    </w:p>
    <w:p w:rsidR="001757F7" w:rsidRDefault="00607ED8" w:rsidP="008F6FC8">
      <w:pPr>
        <w:tabs>
          <w:tab w:val="left" w:pos="4678"/>
          <w:tab w:val="left" w:pos="5954"/>
        </w:tabs>
        <w:rPr>
          <w:rFonts w:cs="Arial"/>
        </w:rPr>
      </w:pPr>
      <w:r>
        <w:rPr>
          <w:rFonts w:cs="Arial"/>
        </w:rPr>
        <w:t>keine</w:t>
      </w:r>
      <w:bookmarkStart w:id="0" w:name="_GoBack"/>
      <w:bookmarkEnd w:id="0"/>
    </w:p>
    <w:sectPr w:rsidR="001757F7" w:rsidSect="003C14BD">
      <w:headerReference w:type="default" r:id="rId8"/>
      <w:pgSz w:w="11906" w:h="16838"/>
      <w:pgMar w:top="720" w:right="992" w:bottom="720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69" w:rsidRDefault="00326969" w:rsidP="003C14BD">
      <w:r>
        <w:separator/>
      </w:r>
    </w:p>
  </w:endnote>
  <w:endnote w:type="continuationSeparator" w:id="0">
    <w:p w:rsidR="00326969" w:rsidRDefault="00326969" w:rsidP="003C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69" w:rsidRDefault="00326969" w:rsidP="003C14BD">
      <w:r w:rsidRPr="003C14BD">
        <w:rPr>
          <w:color w:val="000000"/>
        </w:rPr>
        <w:separator/>
      </w:r>
    </w:p>
  </w:footnote>
  <w:footnote w:type="continuationSeparator" w:id="0">
    <w:p w:rsidR="00326969" w:rsidRDefault="00326969" w:rsidP="003C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69" w:rsidRDefault="00326969">
    <w:pPr>
      <w:ind w:left="4254" w:firstLine="709"/>
    </w:pPr>
    <w:r>
      <w:rPr>
        <w:rStyle w:val="Seitenzahl1"/>
      </w:rPr>
      <w:t xml:space="preserve">- </w:t>
    </w:r>
    <w:r w:rsidR="000D16A7">
      <w:fldChar w:fldCharType="begin"/>
    </w:r>
    <w:r w:rsidR="000D16A7">
      <w:instrText xml:space="preserve"> PAGE </w:instrText>
    </w:r>
    <w:r w:rsidR="000D16A7">
      <w:fldChar w:fldCharType="separate"/>
    </w:r>
    <w:r w:rsidR="00607ED8">
      <w:rPr>
        <w:noProof/>
      </w:rPr>
      <w:t>2</w:t>
    </w:r>
    <w:r w:rsidR="000D16A7">
      <w:rPr>
        <w:noProof/>
      </w:rPr>
      <w:fldChar w:fldCharType="end"/>
    </w:r>
    <w:r>
      <w:rPr>
        <w:rStyle w:val="Seitenzahl1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7BE"/>
    <w:multiLevelType w:val="multilevel"/>
    <w:tmpl w:val="0DF83992"/>
    <w:styleLink w:val="WWNum32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46662B9"/>
    <w:multiLevelType w:val="multilevel"/>
    <w:tmpl w:val="279AC518"/>
    <w:styleLink w:val="WWNum23"/>
    <w:lvl w:ilvl="0">
      <w:start w:val="1"/>
      <w:numFmt w:val="decimal"/>
      <w:lvlText w:val="%1."/>
      <w:lvlJc w:val="left"/>
      <w:rPr>
        <w:rFonts w:cs="Aria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4752B46"/>
    <w:multiLevelType w:val="multilevel"/>
    <w:tmpl w:val="8F40FEA6"/>
    <w:styleLink w:val="WWNum12"/>
    <w:lvl w:ilvl="0">
      <w:start w:val="1"/>
      <w:numFmt w:val="lowerLetter"/>
      <w:lvlText w:val="%1"/>
      <w:lvlJc w:val="left"/>
    </w:lvl>
    <w:lvl w:ilvl="1">
      <w:start w:val="1"/>
      <w:numFmt w:val="decimal"/>
      <w:lvlText w:val="%2 Schritt: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" w15:restartNumberingAfterBreak="0">
    <w:nsid w:val="07767893"/>
    <w:multiLevelType w:val="multilevel"/>
    <w:tmpl w:val="FE8CFDB0"/>
    <w:styleLink w:val="WWNum3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8386B9C"/>
    <w:multiLevelType w:val="multilevel"/>
    <w:tmpl w:val="2894F934"/>
    <w:styleLink w:val="WWNum18"/>
    <w:lvl w:ilvl="0">
      <w:start w:val="1"/>
      <w:numFmt w:val="low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5" w15:restartNumberingAfterBreak="0">
    <w:nsid w:val="0B015D32"/>
    <w:multiLevelType w:val="multilevel"/>
    <w:tmpl w:val="09A0827A"/>
    <w:styleLink w:val="WWNum11"/>
    <w:lvl w:ilvl="0">
      <w:numFmt w:val="bullet"/>
      <w:lvlText w:val="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6" w15:restartNumberingAfterBreak="0">
    <w:nsid w:val="1A69633F"/>
    <w:multiLevelType w:val="multilevel"/>
    <w:tmpl w:val="7192695E"/>
    <w:styleLink w:val="WWNum7"/>
    <w:lvl w:ilvl="0">
      <w:numFmt w:val="bullet"/>
      <w:lvlText w:val="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" w15:restartNumberingAfterBreak="0">
    <w:nsid w:val="1DAD2B90"/>
    <w:multiLevelType w:val="multilevel"/>
    <w:tmpl w:val="DF62596C"/>
    <w:styleLink w:val="WWNum21"/>
    <w:lvl w:ilvl="0">
      <w:start w:val="2"/>
      <w:numFmt w:val="lowerLetter"/>
      <w:lvlText w:val="%1)"/>
      <w:lvlJc w:val="left"/>
      <w:rPr>
        <w:rFonts w:cs="Arial"/>
        <w:spacing w:val="5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0451FB8"/>
    <w:multiLevelType w:val="multilevel"/>
    <w:tmpl w:val="35C8875C"/>
    <w:styleLink w:val="WWNum2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5CB1347"/>
    <w:multiLevelType w:val="multilevel"/>
    <w:tmpl w:val="7B8AEC2A"/>
    <w:styleLink w:val="WWNum36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0" w15:restartNumberingAfterBreak="0">
    <w:nsid w:val="296A7405"/>
    <w:multiLevelType w:val="multilevel"/>
    <w:tmpl w:val="62FCFDFA"/>
    <w:styleLink w:val="WWNum5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2CD109A2"/>
    <w:multiLevelType w:val="multilevel"/>
    <w:tmpl w:val="7B10ACA2"/>
    <w:styleLink w:val="WWNum2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30352DA2"/>
    <w:multiLevelType w:val="multilevel"/>
    <w:tmpl w:val="9572E20C"/>
    <w:styleLink w:val="WWNum2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3187402D"/>
    <w:multiLevelType w:val="multilevel"/>
    <w:tmpl w:val="6540D9D8"/>
    <w:styleLink w:val="WWNum3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31F94913"/>
    <w:multiLevelType w:val="multilevel"/>
    <w:tmpl w:val="23AE2A46"/>
    <w:styleLink w:val="WWNum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3D9A7D85"/>
    <w:multiLevelType w:val="multilevel"/>
    <w:tmpl w:val="607CD4CC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3FE6170C"/>
    <w:multiLevelType w:val="multilevel"/>
    <w:tmpl w:val="CBFAE03C"/>
    <w:styleLink w:val="WWNum2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17C039A"/>
    <w:multiLevelType w:val="multilevel"/>
    <w:tmpl w:val="B12C7832"/>
    <w:styleLink w:val="WWNum9"/>
    <w:lvl w:ilvl="0">
      <w:numFmt w:val="bullet"/>
      <w:lvlText w:val=""/>
      <w:lvlJc w:val="left"/>
    </w:lvl>
    <w:lvl w:ilvl="1">
      <w:start w:val="1"/>
      <w:numFmt w:val="decimal"/>
      <w:lvlText w:val="%2 Schritt: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8" w15:restartNumberingAfterBreak="0">
    <w:nsid w:val="4D7D7069"/>
    <w:multiLevelType w:val="multilevel"/>
    <w:tmpl w:val="6624E234"/>
    <w:styleLink w:val="WWNum24"/>
    <w:lvl w:ilvl="0">
      <w:start w:val="2"/>
      <w:numFmt w:val="lowerLetter"/>
      <w:lvlText w:val="%1)"/>
      <w:lvlJc w:val="left"/>
      <w:rPr>
        <w:rFonts w:cs="Arial"/>
        <w:spacing w:val="5"/>
        <w:sz w:val="23"/>
        <w:szCs w:val="2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4FF950DE"/>
    <w:multiLevelType w:val="multilevel"/>
    <w:tmpl w:val="23DE4812"/>
    <w:styleLink w:val="WWNum4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53C44246"/>
    <w:multiLevelType w:val="multilevel"/>
    <w:tmpl w:val="4FE451F8"/>
    <w:styleLink w:val="WWNum29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53DC7247"/>
    <w:multiLevelType w:val="multilevel"/>
    <w:tmpl w:val="D35AAC38"/>
    <w:styleLink w:val="WWNum8"/>
    <w:lvl w:ilvl="0">
      <w:numFmt w:val="bullet"/>
      <w:lvlText w:val=""/>
      <w:lvlJc w:val="left"/>
      <w:rPr>
        <w:b/>
        <w:i w:val="0"/>
      </w:rPr>
    </w:lvl>
    <w:lvl w:ilvl="1">
      <w:numFmt w:val="bullet"/>
      <w:lvlText w:val="­"/>
      <w:lvlJc w:val="left"/>
      <w:rPr>
        <w:color w:val="00000A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"/>
      <w:lvlJc w:val="left"/>
    </w:lvl>
    <w:lvl w:ilvl="5">
      <w:numFmt w:val="bullet"/>
      <w:lvlText w:val=""/>
      <w:lvlJc w:val="left"/>
    </w:lvl>
    <w:lvl w:ilvl="6">
      <w:numFmt w:val="bullet"/>
      <w:lvlText w:val=""/>
      <w:lvlJc w:val="left"/>
    </w:lvl>
    <w:lvl w:ilvl="7">
      <w:numFmt w:val="bullet"/>
      <w:lvlText w:val=""/>
      <w:lvlJc w:val="left"/>
    </w:lvl>
    <w:lvl w:ilvl="8">
      <w:numFmt w:val="bullet"/>
      <w:lvlText w:val=""/>
      <w:lvlJc w:val="left"/>
    </w:lvl>
  </w:abstractNum>
  <w:abstractNum w:abstractNumId="22" w15:restartNumberingAfterBreak="0">
    <w:nsid w:val="544C2A98"/>
    <w:multiLevelType w:val="hybridMultilevel"/>
    <w:tmpl w:val="9308F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07E41"/>
    <w:multiLevelType w:val="hybridMultilevel"/>
    <w:tmpl w:val="A8D0E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4041A"/>
    <w:multiLevelType w:val="multilevel"/>
    <w:tmpl w:val="16C04300"/>
    <w:styleLink w:val="WWNum13"/>
    <w:lvl w:ilvl="0">
      <w:start w:val="1"/>
      <w:numFmt w:val="lowerLetter"/>
      <w:lvlText w:val="%1"/>
      <w:lvlJc w:val="left"/>
    </w:lvl>
    <w:lvl w:ilvl="1">
      <w:numFmt w:val="bullet"/>
      <w:lvlText w:val="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5" w15:restartNumberingAfterBreak="0">
    <w:nsid w:val="57576A5B"/>
    <w:multiLevelType w:val="multilevel"/>
    <w:tmpl w:val="059EC83A"/>
    <w:styleLink w:val="WWNum14"/>
    <w:lvl w:ilvl="0">
      <w:start w:val="1"/>
      <w:numFmt w:val="lowerLetter"/>
      <w:lvlText w:val="%1"/>
      <w:lvlJc w:val="left"/>
    </w:lvl>
    <w:lvl w:ilvl="1">
      <w:start w:val="1"/>
      <w:numFmt w:val="decimal"/>
      <w:lvlText w:val="%2Schritt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6" w15:restartNumberingAfterBreak="0">
    <w:nsid w:val="58D47486"/>
    <w:multiLevelType w:val="multilevel"/>
    <w:tmpl w:val="1DB2980A"/>
    <w:styleLink w:val="WWNum3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7" w15:restartNumberingAfterBreak="0">
    <w:nsid w:val="5AB8022B"/>
    <w:multiLevelType w:val="multilevel"/>
    <w:tmpl w:val="D9EA9956"/>
    <w:styleLink w:val="WWNum3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B2014FE"/>
    <w:multiLevelType w:val="multilevel"/>
    <w:tmpl w:val="298E7F54"/>
    <w:styleLink w:val="WWNum10"/>
    <w:lvl w:ilvl="0">
      <w:numFmt w:val="bullet"/>
      <w:lvlText w:val="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9" w15:restartNumberingAfterBreak="0">
    <w:nsid w:val="5E3B4170"/>
    <w:multiLevelType w:val="multilevel"/>
    <w:tmpl w:val="393AB12C"/>
    <w:styleLink w:val="WWNum1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 w15:restartNumberingAfterBreak="0">
    <w:nsid w:val="6A1C123C"/>
    <w:multiLevelType w:val="multilevel"/>
    <w:tmpl w:val="8A5084B2"/>
    <w:styleLink w:val="WWNum17"/>
    <w:lvl w:ilvl="0">
      <w:start w:val="1"/>
      <w:numFmt w:val="low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1" w15:restartNumberingAfterBreak="0">
    <w:nsid w:val="6B0731F1"/>
    <w:multiLevelType w:val="multilevel"/>
    <w:tmpl w:val="3EC0B83A"/>
    <w:styleLink w:val="WWNum15"/>
    <w:lvl w:ilvl="0">
      <w:start w:val="1"/>
      <w:numFmt w:val="low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2" w15:restartNumberingAfterBreak="0">
    <w:nsid w:val="6C7931A2"/>
    <w:multiLevelType w:val="multilevel"/>
    <w:tmpl w:val="7C9CE734"/>
    <w:styleLink w:val="WWNum39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3" w15:restartNumberingAfterBreak="0">
    <w:nsid w:val="6F585492"/>
    <w:multiLevelType w:val="multilevel"/>
    <w:tmpl w:val="50960F98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6F8049F9"/>
    <w:multiLevelType w:val="multilevel"/>
    <w:tmpl w:val="53E6F3BC"/>
    <w:styleLink w:val="WWNum20"/>
    <w:lvl w:ilvl="0">
      <w:start w:val="1"/>
      <w:numFmt w:val="decimal"/>
      <w:lvlText w:val="%1."/>
      <w:lvlJc w:val="left"/>
      <w:rPr>
        <w:rFonts w:cs="Arial"/>
        <w:spacing w:val="2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0886FEA"/>
    <w:multiLevelType w:val="multilevel"/>
    <w:tmpl w:val="4E7E9B48"/>
    <w:styleLink w:val="WWNum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0BB16E4"/>
    <w:multiLevelType w:val="multilevel"/>
    <w:tmpl w:val="CF56BCC2"/>
    <w:styleLink w:val="WWNum22"/>
    <w:lvl w:ilvl="0">
      <w:start w:val="1"/>
      <w:numFmt w:val="decimal"/>
      <w:lvlText w:val="%1."/>
      <w:lvlJc w:val="left"/>
      <w:rPr>
        <w:rFonts w:cs="Arial"/>
        <w:spacing w:val="4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26F6E20"/>
    <w:multiLevelType w:val="multilevel"/>
    <w:tmpl w:val="3E0CCD92"/>
    <w:styleLink w:val="WWNum19"/>
    <w:lvl w:ilvl="0">
      <w:start w:val="1"/>
      <w:numFmt w:val="low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8" w15:restartNumberingAfterBreak="0">
    <w:nsid w:val="78DB47CC"/>
    <w:multiLevelType w:val="multilevel"/>
    <w:tmpl w:val="632264FA"/>
    <w:styleLink w:val="WW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9" w15:restartNumberingAfterBreak="0">
    <w:nsid w:val="79B27172"/>
    <w:multiLevelType w:val="multilevel"/>
    <w:tmpl w:val="D8D895DC"/>
    <w:styleLink w:val="WWNum3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7D377AB2"/>
    <w:multiLevelType w:val="multilevel"/>
    <w:tmpl w:val="B128EAD6"/>
    <w:styleLink w:val="WWNum16"/>
    <w:lvl w:ilvl="0">
      <w:start w:val="1"/>
      <w:numFmt w:val="low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num w:numId="1">
    <w:abstractNumId w:val="29"/>
  </w:num>
  <w:num w:numId="2">
    <w:abstractNumId w:val="16"/>
  </w:num>
  <w:num w:numId="3">
    <w:abstractNumId w:val="35"/>
  </w:num>
  <w:num w:numId="4">
    <w:abstractNumId w:val="19"/>
  </w:num>
  <w:num w:numId="5">
    <w:abstractNumId w:val="10"/>
  </w:num>
  <w:num w:numId="6">
    <w:abstractNumId w:val="38"/>
  </w:num>
  <w:num w:numId="7">
    <w:abstractNumId w:val="6"/>
  </w:num>
  <w:num w:numId="8">
    <w:abstractNumId w:val="21"/>
  </w:num>
  <w:num w:numId="9">
    <w:abstractNumId w:val="17"/>
  </w:num>
  <w:num w:numId="10">
    <w:abstractNumId w:val="28"/>
  </w:num>
  <w:num w:numId="11">
    <w:abstractNumId w:val="5"/>
  </w:num>
  <w:num w:numId="12">
    <w:abstractNumId w:val="2"/>
  </w:num>
  <w:num w:numId="13">
    <w:abstractNumId w:val="24"/>
  </w:num>
  <w:num w:numId="14">
    <w:abstractNumId w:val="25"/>
  </w:num>
  <w:num w:numId="15">
    <w:abstractNumId w:val="31"/>
  </w:num>
  <w:num w:numId="16">
    <w:abstractNumId w:val="40"/>
  </w:num>
  <w:num w:numId="17">
    <w:abstractNumId w:val="30"/>
  </w:num>
  <w:num w:numId="18">
    <w:abstractNumId w:val="4"/>
  </w:num>
  <w:num w:numId="19">
    <w:abstractNumId w:val="37"/>
  </w:num>
  <w:num w:numId="20">
    <w:abstractNumId w:val="34"/>
  </w:num>
  <w:num w:numId="21">
    <w:abstractNumId w:val="7"/>
  </w:num>
  <w:num w:numId="22">
    <w:abstractNumId w:val="36"/>
  </w:num>
  <w:num w:numId="23">
    <w:abstractNumId w:val="1"/>
  </w:num>
  <w:num w:numId="24">
    <w:abstractNumId w:val="18"/>
  </w:num>
  <w:num w:numId="25">
    <w:abstractNumId w:val="14"/>
  </w:num>
  <w:num w:numId="26">
    <w:abstractNumId w:val="8"/>
  </w:num>
  <w:num w:numId="27">
    <w:abstractNumId w:val="11"/>
  </w:num>
  <w:num w:numId="28">
    <w:abstractNumId w:val="12"/>
  </w:num>
  <w:num w:numId="29">
    <w:abstractNumId w:val="20"/>
  </w:num>
  <w:num w:numId="30">
    <w:abstractNumId w:val="39"/>
  </w:num>
  <w:num w:numId="31">
    <w:abstractNumId w:val="27"/>
  </w:num>
  <w:num w:numId="32">
    <w:abstractNumId w:val="0"/>
  </w:num>
  <w:num w:numId="33">
    <w:abstractNumId w:val="3"/>
  </w:num>
  <w:num w:numId="34">
    <w:abstractNumId w:val="33"/>
  </w:num>
  <w:num w:numId="35">
    <w:abstractNumId w:val="15"/>
  </w:num>
  <w:num w:numId="36">
    <w:abstractNumId w:val="9"/>
  </w:num>
  <w:num w:numId="37">
    <w:abstractNumId w:val="26"/>
  </w:num>
  <w:num w:numId="38">
    <w:abstractNumId w:val="13"/>
  </w:num>
  <w:num w:numId="39">
    <w:abstractNumId w:val="32"/>
  </w:num>
  <w:num w:numId="40">
    <w:abstractNumId w:val="2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14BD"/>
    <w:rsid w:val="0000149B"/>
    <w:rsid w:val="00014783"/>
    <w:rsid w:val="00060556"/>
    <w:rsid w:val="00066C91"/>
    <w:rsid w:val="00082F8B"/>
    <w:rsid w:val="0009494D"/>
    <w:rsid w:val="000A4C5F"/>
    <w:rsid w:val="000B775D"/>
    <w:rsid w:val="000D16A7"/>
    <w:rsid w:val="000D18E2"/>
    <w:rsid w:val="000E6430"/>
    <w:rsid w:val="00137FEA"/>
    <w:rsid w:val="0016058F"/>
    <w:rsid w:val="0017330A"/>
    <w:rsid w:val="001757F7"/>
    <w:rsid w:val="001976B7"/>
    <w:rsid w:val="001C1C0B"/>
    <w:rsid w:val="001C5760"/>
    <w:rsid w:val="001C5794"/>
    <w:rsid w:val="001C753C"/>
    <w:rsid w:val="001F0592"/>
    <w:rsid w:val="002168F5"/>
    <w:rsid w:val="002257A2"/>
    <w:rsid w:val="002535EF"/>
    <w:rsid w:val="002820B6"/>
    <w:rsid w:val="002C6F41"/>
    <w:rsid w:val="00304780"/>
    <w:rsid w:val="00326969"/>
    <w:rsid w:val="00327117"/>
    <w:rsid w:val="0033161D"/>
    <w:rsid w:val="00336D0C"/>
    <w:rsid w:val="00341ED1"/>
    <w:rsid w:val="00357AF0"/>
    <w:rsid w:val="003C14BD"/>
    <w:rsid w:val="003C79E9"/>
    <w:rsid w:val="003D6E3F"/>
    <w:rsid w:val="00406EBA"/>
    <w:rsid w:val="00437114"/>
    <w:rsid w:val="00441F15"/>
    <w:rsid w:val="00451E3D"/>
    <w:rsid w:val="00460864"/>
    <w:rsid w:val="00471361"/>
    <w:rsid w:val="00472C3C"/>
    <w:rsid w:val="00497D2F"/>
    <w:rsid w:val="0050185F"/>
    <w:rsid w:val="00501D8D"/>
    <w:rsid w:val="00501F3C"/>
    <w:rsid w:val="005257C9"/>
    <w:rsid w:val="00530BF4"/>
    <w:rsid w:val="005349A8"/>
    <w:rsid w:val="00544359"/>
    <w:rsid w:val="00556923"/>
    <w:rsid w:val="005638EC"/>
    <w:rsid w:val="005A7B7A"/>
    <w:rsid w:val="006040F0"/>
    <w:rsid w:val="00607ED8"/>
    <w:rsid w:val="00652AA8"/>
    <w:rsid w:val="0065580B"/>
    <w:rsid w:val="00683E07"/>
    <w:rsid w:val="006C6085"/>
    <w:rsid w:val="0071669D"/>
    <w:rsid w:val="00743E25"/>
    <w:rsid w:val="00770C10"/>
    <w:rsid w:val="007C19AF"/>
    <w:rsid w:val="007C2689"/>
    <w:rsid w:val="007C527B"/>
    <w:rsid w:val="007E6C6E"/>
    <w:rsid w:val="00807435"/>
    <w:rsid w:val="0081036C"/>
    <w:rsid w:val="00821075"/>
    <w:rsid w:val="00827363"/>
    <w:rsid w:val="0083493C"/>
    <w:rsid w:val="00836B5A"/>
    <w:rsid w:val="00843DDE"/>
    <w:rsid w:val="008503CC"/>
    <w:rsid w:val="00850D4D"/>
    <w:rsid w:val="00861FE4"/>
    <w:rsid w:val="00862EF6"/>
    <w:rsid w:val="00886903"/>
    <w:rsid w:val="008C1260"/>
    <w:rsid w:val="008D3D15"/>
    <w:rsid w:val="008D5D74"/>
    <w:rsid w:val="008D752B"/>
    <w:rsid w:val="008F6FC8"/>
    <w:rsid w:val="00911D94"/>
    <w:rsid w:val="0092366A"/>
    <w:rsid w:val="0092685D"/>
    <w:rsid w:val="00940120"/>
    <w:rsid w:val="00953AC5"/>
    <w:rsid w:val="00970A36"/>
    <w:rsid w:val="009713C5"/>
    <w:rsid w:val="00971969"/>
    <w:rsid w:val="009A5AC3"/>
    <w:rsid w:val="009B5718"/>
    <w:rsid w:val="009D61AE"/>
    <w:rsid w:val="009E0103"/>
    <w:rsid w:val="00A12B29"/>
    <w:rsid w:val="00A45C38"/>
    <w:rsid w:val="00A5179C"/>
    <w:rsid w:val="00A57499"/>
    <w:rsid w:val="00A6628D"/>
    <w:rsid w:val="00A72A76"/>
    <w:rsid w:val="00AA5D1B"/>
    <w:rsid w:val="00AD27A3"/>
    <w:rsid w:val="00AE6196"/>
    <w:rsid w:val="00AE75CE"/>
    <w:rsid w:val="00B16080"/>
    <w:rsid w:val="00B6255B"/>
    <w:rsid w:val="00B632D7"/>
    <w:rsid w:val="00BD72C5"/>
    <w:rsid w:val="00C05FBF"/>
    <w:rsid w:val="00C11B7B"/>
    <w:rsid w:val="00C128DE"/>
    <w:rsid w:val="00C40F3E"/>
    <w:rsid w:val="00C45689"/>
    <w:rsid w:val="00C56E21"/>
    <w:rsid w:val="00C63B70"/>
    <w:rsid w:val="00C747C7"/>
    <w:rsid w:val="00C8197F"/>
    <w:rsid w:val="00C828C0"/>
    <w:rsid w:val="00C92740"/>
    <w:rsid w:val="00C96DBF"/>
    <w:rsid w:val="00C96F73"/>
    <w:rsid w:val="00CB31FD"/>
    <w:rsid w:val="00CC528C"/>
    <w:rsid w:val="00CD3A7D"/>
    <w:rsid w:val="00CE7330"/>
    <w:rsid w:val="00D024BD"/>
    <w:rsid w:val="00D370FB"/>
    <w:rsid w:val="00D6042C"/>
    <w:rsid w:val="00D72C5D"/>
    <w:rsid w:val="00DF4F42"/>
    <w:rsid w:val="00E13AB8"/>
    <w:rsid w:val="00E3050B"/>
    <w:rsid w:val="00EB7CC3"/>
    <w:rsid w:val="00EE5260"/>
    <w:rsid w:val="00EE6BF1"/>
    <w:rsid w:val="00F133A8"/>
    <w:rsid w:val="00F20E13"/>
    <w:rsid w:val="00F325E8"/>
    <w:rsid w:val="00F37790"/>
    <w:rsid w:val="00F4045B"/>
    <w:rsid w:val="00F422F4"/>
    <w:rsid w:val="00F722C9"/>
    <w:rsid w:val="00F72C8A"/>
    <w:rsid w:val="00F90D28"/>
    <w:rsid w:val="00F96392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432A"/>
  <w15:docId w15:val="{836D5366-7264-41A1-AE15-C1BB347E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3C14BD"/>
    <w:pPr>
      <w:widowControl/>
      <w:suppressAutoHyphens/>
    </w:pPr>
  </w:style>
  <w:style w:type="paragraph" w:styleId="berschrift1">
    <w:name w:val="heading 1"/>
    <w:basedOn w:val="Standard"/>
    <w:next w:val="Standard"/>
    <w:link w:val="berschrift1Zchn"/>
    <w:qFormat/>
    <w:rsid w:val="003D6E3F"/>
    <w:pPr>
      <w:keepNext/>
      <w:suppressAutoHyphens w:val="0"/>
      <w:autoSpaceDN/>
      <w:spacing w:before="480"/>
      <w:ind w:left="284" w:hanging="284"/>
      <w:textAlignment w:val="auto"/>
      <w:outlineLvl w:val="0"/>
    </w:pPr>
    <w:rPr>
      <w:rFonts w:eastAsia="Times New Roman" w:cs="Times New Roman"/>
      <w:b/>
      <w:kern w:val="0"/>
      <w:szCs w:val="20"/>
      <w:u w:val="single"/>
      <w:lang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6E3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3C14B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3C14BD"/>
    <w:pPr>
      <w:spacing w:after="120"/>
    </w:pPr>
  </w:style>
  <w:style w:type="paragraph" w:styleId="Liste">
    <w:name w:val="List"/>
    <w:basedOn w:val="Textbody"/>
    <w:rsid w:val="003C14BD"/>
  </w:style>
  <w:style w:type="paragraph" w:customStyle="1" w:styleId="Beschriftung1">
    <w:name w:val="Beschriftung1"/>
    <w:basedOn w:val="Standard"/>
    <w:rsid w:val="003C14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C14BD"/>
    <w:pPr>
      <w:suppressLineNumbers/>
    </w:pPr>
  </w:style>
  <w:style w:type="paragraph" w:customStyle="1" w:styleId="berschrift11">
    <w:name w:val="Überschrift 11"/>
    <w:basedOn w:val="Standard"/>
    <w:next w:val="Textbody"/>
    <w:rsid w:val="003C14BD"/>
    <w:pPr>
      <w:keepNext/>
      <w:spacing w:before="480"/>
      <w:ind w:left="284" w:hanging="284"/>
      <w:outlineLvl w:val="0"/>
    </w:pPr>
    <w:rPr>
      <w:b/>
      <w:u w:val="single"/>
    </w:rPr>
  </w:style>
  <w:style w:type="paragraph" w:customStyle="1" w:styleId="berschrift21">
    <w:name w:val="Überschrift 21"/>
    <w:basedOn w:val="Standard"/>
    <w:next w:val="Textbody"/>
    <w:rsid w:val="003C14BD"/>
    <w:pPr>
      <w:keepNext/>
      <w:spacing w:before="240"/>
      <w:ind w:left="482" w:hanging="482"/>
      <w:outlineLvl w:val="1"/>
    </w:pPr>
    <w:rPr>
      <w:b/>
    </w:rPr>
  </w:style>
  <w:style w:type="paragraph" w:customStyle="1" w:styleId="berschrift31">
    <w:name w:val="Überschrift 31"/>
    <w:basedOn w:val="Standard"/>
    <w:next w:val="Textbody"/>
    <w:rsid w:val="003C14BD"/>
    <w:pPr>
      <w:keepNext/>
      <w:spacing w:before="240" w:after="60"/>
      <w:outlineLvl w:val="2"/>
    </w:pPr>
    <w:rPr>
      <w:b/>
    </w:rPr>
  </w:style>
  <w:style w:type="paragraph" w:customStyle="1" w:styleId="berschrift41">
    <w:name w:val="Überschrift 41"/>
    <w:basedOn w:val="Standard"/>
    <w:next w:val="Textbody"/>
    <w:rsid w:val="003C14BD"/>
    <w:pPr>
      <w:keepNext/>
      <w:ind w:left="72"/>
      <w:jc w:val="center"/>
      <w:outlineLvl w:val="3"/>
    </w:pPr>
    <w:rPr>
      <w:b/>
      <w:sz w:val="16"/>
    </w:rPr>
  </w:style>
  <w:style w:type="paragraph" w:styleId="Kommentartext">
    <w:name w:val="annotation text"/>
    <w:basedOn w:val="Standard"/>
    <w:rsid w:val="003C14BD"/>
    <w:rPr>
      <w:sz w:val="20"/>
    </w:rPr>
  </w:style>
  <w:style w:type="paragraph" w:customStyle="1" w:styleId="Fuzeile1">
    <w:name w:val="Fußzeile1"/>
    <w:basedOn w:val="Standard"/>
    <w:rsid w:val="003C14BD"/>
    <w:pPr>
      <w:tabs>
        <w:tab w:val="center" w:pos="4536"/>
        <w:tab w:val="right" w:pos="9072"/>
      </w:tabs>
    </w:pPr>
    <w:rPr>
      <w:szCs w:val="21"/>
    </w:rPr>
  </w:style>
  <w:style w:type="paragraph" w:customStyle="1" w:styleId="Kopfzeile1">
    <w:name w:val="Kopfzeile1"/>
    <w:basedOn w:val="Standard"/>
    <w:rsid w:val="003C14BD"/>
    <w:pPr>
      <w:tabs>
        <w:tab w:val="center" w:pos="4536"/>
        <w:tab w:val="right" w:pos="9072"/>
      </w:tabs>
    </w:pPr>
    <w:rPr>
      <w:szCs w:val="21"/>
    </w:rPr>
  </w:style>
  <w:style w:type="paragraph" w:styleId="Sprechblasentext">
    <w:name w:val="Balloon Text"/>
    <w:basedOn w:val="Standard"/>
    <w:rsid w:val="003C14BD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Standard"/>
    <w:rsid w:val="003C14BD"/>
    <w:pPr>
      <w:widowControl w:val="0"/>
    </w:pPr>
    <w:rPr>
      <w:rFonts w:ascii="Times New Roman" w:hAnsi="Times New Roman"/>
      <w:sz w:val="20"/>
    </w:rPr>
  </w:style>
  <w:style w:type="paragraph" w:styleId="Listenabsatz">
    <w:name w:val="List Paragraph"/>
    <w:basedOn w:val="Standard"/>
    <w:rsid w:val="003C14BD"/>
    <w:pPr>
      <w:ind w:left="720"/>
    </w:pPr>
  </w:style>
  <w:style w:type="paragraph" w:customStyle="1" w:styleId="Default">
    <w:name w:val="Default"/>
    <w:rsid w:val="003C14BD"/>
    <w:pPr>
      <w:widowControl/>
      <w:suppressAutoHyphens/>
    </w:pPr>
    <w:rPr>
      <w:rFonts w:cs="Arial"/>
      <w:color w:val="000000"/>
    </w:rPr>
  </w:style>
  <w:style w:type="paragraph" w:customStyle="1" w:styleId="TableContents">
    <w:name w:val="Table Contents"/>
    <w:basedOn w:val="Standard"/>
    <w:rsid w:val="003C14BD"/>
    <w:pPr>
      <w:suppressLineNumbers/>
    </w:pPr>
  </w:style>
  <w:style w:type="character" w:styleId="Kommentarzeichen">
    <w:name w:val="annotation reference"/>
    <w:basedOn w:val="Absatz-Standardschriftart"/>
    <w:rsid w:val="003C14BD"/>
    <w:rPr>
      <w:sz w:val="16"/>
    </w:rPr>
  </w:style>
  <w:style w:type="character" w:customStyle="1" w:styleId="Seitenzahl1">
    <w:name w:val="Seitenzahl1"/>
    <w:basedOn w:val="Absatz-Standardschriftart"/>
    <w:rsid w:val="003C14BD"/>
    <w:rPr>
      <w:rFonts w:ascii="Arial" w:hAnsi="Arial"/>
      <w:sz w:val="24"/>
    </w:rPr>
  </w:style>
  <w:style w:type="character" w:customStyle="1" w:styleId="CharacterStyle1">
    <w:name w:val="Character Style 1"/>
    <w:uiPriority w:val="99"/>
    <w:rsid w:val="003C14BD"/>
    <w:rPr>
      <w:sz w:val="20"/>
    </w:rPr>
  </w:style>
  <w:style w:type="character" w:customStyle="1" w:styleId="ListLabel1">
    <w:name w:val="ListLabel 1"/>
    <w:rsid w:val="003C14BD"/>
    <w:rPr>
      <w:rFonts w:eastAsia="Times New Roman" w:cs="Times New Roman"/>
    </w:rPr>
  </w:style>
  <w:style w:type="character" w:customStyle="1" w:styleId="ListLabel2">
    <w:name w:val="ListLabel 2"/>
    <w:rsid w:val="003C14BD"/>
    <w:rPr>
      <w:rFonts w:cs="Courier New"/>
    </w:rPr>
  </w:style>
  <w:style w:type="character" w:customStyle="1" w:styleId="ListLabel3">
    <w:name w:val="ListLabel 3"/>
    <w:rsid w:val="003C14BD"/>
    <w:rPr>
      <w:b/>
      <w:i w:val="0"/>
    </w:rPr>
  </w:style>
  <w:style w:type="character" w:customStyle="1" w:styleId="ListLabel4">
    <w:name w:val="ListLabel 4"/>
    <w:rsid w:val="003C14BD"/>
    <w:rPr>
      <w:color w:val="00000A"/>
    </w:rPr>
  </w:style>
  <w:style w:type="character" w:customStyle="1" w:styleId="ListLabel5">
    <w:name w:val="ListLabel 5"/>
    <w:rsid w:val="003C14BD"/>
    <w:rPr>
      <w:rFonts w:cs="Arial"/>
      <w:spacing w:val="2"/>
      <w:sz w:val="23"/>
      <w:szCs w:val="23"/>
    </w:rPr>
  </w:style>
  <w:style w:type="character" w:customStyle="1" w:styleId="ListLabel6">
    <w:name w:val="ListLabel 6"/>
    <w:rsid w:val="003C14BD"/>
    <w:rPr>
      <w:rFonts w:cs="Arial"/>
      <w:spacing w:val="5"/>
      <w:sz w:val="23"/>
      <w:szCs w:val="23"/>
    </w:rPr>
  </w:style>
  <w:style w:type="character" w:customStyle="1" w:styleId="ListLabel7">
    <w:name w:val="ListLabel 7"/>
    <w:rsid w:val="003C14BD"/>
    <w:rPr>
      <w:rFonts w:cs="Arial"/>
      <w:spacing w:val="4"/>
      <w:sz w:val="23"/>
      <w:szCs w:val="23"/>
    </w:rPr>
  </w:style>
  <w:style w:type="character" w:customStyle="1" w:styleId="ListLabel8">
    <w:name w:val="ListLabel 8"/>
    <w:rsid w:val="003C14BD"/>
    <w:rPr>
      <w:rFonts w:cs="Arial"/>
      <w:sz w:val="23"/>
      <w:szCs w:val="23"/>
    </w:rPr>
  </w:style>
  <w:style w:type="character" w:customStyle="1" w:styleId="KopfzeileZchn">
    <w:name w:val="Kopfzeile Zchn"/>
    <w:basedOn w:val="Absatz-Standardschriftart"/>
    <w:rsid w:val="003C14BD"/>
    <w:rPr>
      <w:szCs w:val="21"/>
    </w:rPr>
  </w:style>
  <w:style w:type="character" w:customStyle="1" w:styleId="FuzeileZchn">
    <w:name w:val="Fußzeile Zchn"/>
    <w:basedOn w:val="Absatz-Standardschriftart"/>
    <w:rsid w:val="003C14BD"/>
    <w:rPr>
      <w:szCs w:val="21"/>
    </w:rPr>
  </w:style>
  <w:style w:type="paragraph" w:styleId="Kopfzeile">
    <w:name w:val="header"/>
    <w:basedOn w:val="Standard"/>
    <w:rsid w:val="003C14B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1">
    <w:name w:val="Kopfzeile Zchn1"/>
    <w:basedOn w:val="Absatz-Standardschriftart"/>
    <w:rsid w:val="003C14BD"/>
    <w:rPr>
      <w:szCs w:val="21"/>
    </w:rPr>
  </w:style>
  <w:style w:type="numbering" w:customStyle="1" w:styleId="WWNum1">
    <w:name w:val="WWNum1"/>
    <w:basedOn w:val="KeineListe"/>
    <w:rsid w:val="003C14BD"/>
    <w:pPr>
      <w:numPr>
        <w:numId w:val="1"/>
      </w:numPr>
    </w:pPr>
  </w:style>
  <w:style w:type="numbering" w:customStyle="1" w:styleId="WWNum2">
    <w:name w:val="WWNum2"/>
    <w:basedOn w:val="KeineListe"/>
    <w:rsid w:val="003C14BD"/>
    <w:pPr>
      <w:numPr>
        <w:numId w:val="2"/>
      </w:numPr>
    </w:pPr>
  </w:style>
  <w:style w:type="numbering" w:customStyle="1" w:styleId="WWNum3">
    <w:name w:val="WWNum3"/>
    <w:basedOn w:val="KeineListe"/>
    <w:rsid w:val="003C14BD"/>
    <w:pPr>
      <w:numPr>
        <w:numId w:val="3"/>
      </w:numPr>
    </w:pPr>
  </w:style>
  <w:style w:type="numbering" w:customStyle="1" w:styleId="WWNum4">
    <w:name w:val="WWNum4"/>
    <w:basedOn w:val="KeineListe"/>
    <w:rsid w:val="003C14BD"/>
    <w:pPr>
      <w:numPr>
        <w:numId w:val="4"/>
      </w:numPr>
    </w:pPr>
  </w:style>
  <w:style w:type="numbering" w:customStyle="1" w:styleId="WWNum5">
    <w:name w:val="WWNum5"/>
    <w:basedOn w:val="KeineListe"/>
    <w:rsid w:val="003C14BD"/>
    <w:pPr>
      <w:numPr>
        <w:numId w:val="5"/>
      </w:numPr>
    </w:pPr>
  </w:style>
  <w:style w:type="numbering" w:customStyle="1" w:styleId="WWNum6">
    <w:name w:val="WWNum6"/>
    <w:basedOn w:val="KeineListe"/>
    <w:rsid w:val="003C14BD"/>
    <w:pPr>
      <w:numPr>
        <w:numId w:val="6"/>
      </w:numPr>
    </w:pPr>
  </w:style>
  <w:style w:type="numbering" w:customStyle="1" w:styleId="WWNum7">
    <w:name w:val="WWNum7"/>
    <w:basedOn w:val="KeineListe"/>
    <w:rsid w:val="003C14BD"/>
    <w:pPr>
      <w:numPr>
        <w:numId w:val="7"/>
      </w:numPr>
    </w:pPr>
  </w:style>
  <w:style w:type="numbering" w:customStyle="1" w:styleId="WWNum8">
    <w:name w:val="WWNum8"/>
    <w:basedOn w:val="KeineListe"/>
    <w:rsid w:val="003C14BD"/>
    <w:pPr>
      <w:numPr>
        <w:numId w:val="8"/>
      </w:numPr>
    </w:pPr>
  </w:style>
  <w:style w:type="numbering" w:customStyle="1" w:styleId="WWNum9">
    <w:name w:val="WWNum9"/>
    <w:basedOn w:val="KeineListe"/>
    <w:rsid w:val="003C14BD"/>
    <w:pPr>
      <w:numPr>
        <w:numId w:val="9"/>
      </w:numPr>
    </w:pPr>
  </w:style>
  <w:style w:type="numbering" w:customStyle="1" w:styleId="WWNum10">
    <w:name w:val="WWNum10"/>
    <w:basedOn w:val="KeineListe"/>
    <w:rsid w:val="003C14BD"/>
    <w:pPr>
      <w:numPr>
        <w:numId w:val="10"/>
      </w:numPr>
    </w:pPr>
  </w:style>
  <w:style w:type="numbering" w:customStyle="1" w:styleId="WWNum11">
    <w:name w:val="WWNum11"/>
    <w:basedOn w:val="KeineListe"/>
    <w:rsid w:val="003C14BD"/>
    <w:pPr>
      <w:numPr>
        <w:numId w:val="11"/>
      </w:numPr>
    </w:pPr>
  </w:style>
  <w:style w:type="numbering" w:customStyle="1" w:styleId="WWNum12">
    <w:name w:val="WWNum12"/>
    <w:basedOn w:val="KeineListe"/>
    <w:rsid w:val="003C14BD"/>
    <w:pPr>
      <w:numPr>
        <w:numId w:val="12"/>
      </w:numPr>
    </w:pPr>
  </w:style>
  <w:style w:type="numbering" w:customStyle="1" w:styleId="WWNum13">
    <w:name w:val="WWNum13"/>
    <w:basedOn w:val="KeineListe"/>
    <w:rsid w:val="003C14BD"/>
    <w:pPr>
      <w:numPr>
        <w:numId w:val="13"/>
      </w:numPr>
    </w:pPr>
  </w:style>
  <w:style w:type="numbering" w:customStyle="1" w:styleId="WWNum14">
    <w:name w:val="WWNum14"/>
    <w:basedOn w:val="KeineListe"/>
    <w:rsid w:val="003C14BD"/>
    <w:pPr>
      <w:numPr>
        <w:numId w:val="14"/>
      </w:numPr>
    </w:pPr>
  </w:style>
  <w:style w:type="numbering" w:customStyle="1" w:styleId="WWNum15">
    <w:name w:val="WWNum15"/>
    <w:basedOn w:val="KeineListe"/>
    <w:rsid w:val="003C14BD"/>
    <w:pPr>
      <w:numPr>
        <w:numId w:val="15"/>
      </w:numPr>
    </w:pPr>
  </w:style>
  <w:style w:type="numbering" w:customStyle="1" w:styleId="WWNum16">
    <w:name w:val="WWNum16"/>
    <w:basedOn w:val="KeineListe"/>
    <w:rsid w:val="003C14BD"/>
    <w:pPr>
      <w:numPr>
        <w:numId w:val="16"/>
      </w:numPr>
    </w:pPr>
  </w:style>
  <w:style w:type="numbering" w:customStyle="1" w:styleId="WWNum17">
    <w:name w:val="WWNum17"/>
    <w:basedOn w:val="KeineListe"/>
    <w:rsid w:val="003C14BD"/>
    <w:pPr>
      <w:numPr>
        <w:numId w:val="17"/>
      </w:numPr>
    </w:pPr>
  </w:style>
  <w:style w:type="numbering" w:customStyle="1" w:styleId="WWNum18">
    <w:name w:val="WWNum18"/>
    <w:basedOn w:val="KeineListe"/>
    <w:rsid w:val="003C14BD"/>
    <w:pPr>
      <w:numPr>
        <w:numId w:val="18"/>
      </w:numPr>
    </w:pPr>
  </w:style>
  <w:style w:type="numbering" w:customStyle="1" w:styleId="WWNum19">
    <w:name w:val="WWNum19"/>
    <w:basedOn w:val="KeineListe"/>
    <w:rsid w:val="003C14BD"/>
    <w:pPr>
      <w:numPr>
        <w:numId w:val="19"/>
      </w:numPr>
    </w:pPr>
  </w:style>
  <w:style w:type="numbering" w:customStyle="1" w:styleId="WWNum20">
    <w:name w:val="WWNum20"/>
    <w:basedOn w:val="KeineListe"/>
    <w:rsid w:val="003C14BD"/>
    <w:pPr>
      <w:numPr>
        <w:numId w:val="20"/>
      </w:numPr>
    </w:pPr>
  </w:style>
  <w:style w:type="numbering" w:customStyle="1" w:styleId="WWNum21">
    <w:name w:val="WWNum21"/>
    <w:basedOn w:val="KeineListe"/>
    <w:rsid w:val="003C14BD"/>
    <w:pPr>
      <w:numPr>
        <w:numId w:val="21"/>
      </w:numPr>
    </w:pPr>
  </w:style>
  <w:style w:type="numbering" w:customStyle="1" w:styleId="WWNum22">
    <w:name w:val="WWNum22"/>
    <w:basedOn w:val="KeineListe"/>
    <w:rsid w:val="003C14BD"/>
    <w:pPr>
      <w:numPr>
        <w:numId w:val="22"/>
      </w:numPr>
    </w:pPr>
  </w:style>
  <w:style w:type="numbering" w:customStyle="1" w:styleId="WWNum23">
    <w:name w:val="WWNum23"/>
    <w:basedOn w:val="KeineListe"/>
    <w:rsid w:val="003C14BD"/>
    <w:pPr>
      <w:numPr>
        <w:numId w:val="23"/>
      </w:numPr>
    </w:pPr>
  </w:style>
  <w:style w:type="numbering" w:customStyle="1" w:styleId="WWNum24">
    <w:name w:val="WWNum24"/>
    <w:basedOn w:val="KeineListe"/>
    <w:rsid w:val="003C14BD"/>
    <w:pPr>
      <w:numPr>
        <w:numId w:val="24"/>
      </w:numPr>
    </w:pPr>
  </w:style>
  <w:style w:type="numbering" w:customStyle="1" w:styleId="WWNum25">
    <w:name w:val="WWNum25"/>
    <w:basedOn w:val="KeineListe"/>
    <w:rsid w:val="003C14BD"/>
    <w:pPr>
      <w:numPr>
        <w:numId w:val="25"/>
      </w:numPr>
    </w:pPr>
  </w:style>
  <w:style w:type="numbering" w:customStyle="1" w:styleId="WWNum26">
    <w:name w:val="WWNum26"/>
    <w:basedOn w:val="KeineListe"/>
    <w:rsid w:val="003C14BD"/>
    <w:pPr>
      <w:numPr>
        <w:numId w:val="26"/>
      </w:numPr>
    </w:pPr>
  </w:style>
  <w:style w:type="numbering" w:customStyle="1" w:styleId="WWNum27">
    <w:name w:val="WWNum27"/>
    <w:basedOn w:val="KeineListe"/>
    <w:rsid w:val="003C14BD"/>
    <w:pPr>
      <w:numPr>
        <w:numId w:val="27"/>
      </w:numPr>
    </w:pPr>
  </w:style>
  <w:style w:type="numbering" w:customStyle="1" w:styleId="WWNum28">
    <w:name w:val="WWNum28"/>
    <w:basedOn w:val="KeineListe"/>
    <w:rsid w:val="003C14BD"/>
    <w:pPr>
      <w:numPr>
        <w:numId w:val="28"/>
      </w:numPr>
    </w:pPr>
  </w:style>
  <w:style w:type="numbering" w:customStyle="1" w:styleId="WWNum29">
    <w:name w:val="WWNum29"/>
    <w:basedOn w:val="KeineListe"/>
    <w:rsid w:val="003C14BD"/>
    <w:pPr>
      <w:numPr>
        <w:numId w:val="29"/>
      </w:numPr>
    </w:pPr>
  </w:style>
  <w:style w:type="numbering" w:customStyle="1" w:styleId="WWNum30">
    <w:name w:val="WWNum30"/>
    <w:basedOn w:val="KeineListe"/>
    <w:rsid w:val="003C14BD"/>
    <w:pPr>
      <w:numPr>
        <w:numId w:val="30"/>
      </w:numPr>
    </w:pPr>
  </w:style>
  <w:style w:type="numbering" w:customStyle="1" w:styleId="WWNum31">
    <w:name w:val="WWNum31"/>
    <w:basedOn w:val="KeineListe"/>
    <w:rsid w:val="003C14BD"/>
    <w:pPr>
      <w:numPr>
        <w:numId w:val="31"/>
      </w:numPr>
    </w:pPr>
  </w:style>
  <w:style w:type="numbering" w:customStyle="1" w:styleId="WWNum32">
    <w:name w:val="WWNum32"/>
    <w:basedOn w:val="KeineListe"/>
    <w:rsid w:val="003C14BD"/>
    <w:pPr>
      <w:numPr>
        <w:numId w:val="32"/>
      </w:numPr>
    </w:pPr>
  </w:style>
  <w:style w:type="numbering" w:customStyle="1" w:styleId="WWNum33">
    <w:name w:val="WWNum33"/>
    <w:basedOn w:val="KeineListe"/>
    <w:rsid w:val="003C14BD"/>
    <w:pPr>
      <w:numPr>
        <w:numId w:val="33"/>
      </w:numPr>
    </w:pPr>
  </w:style>
  <w:style w:type="numbering" w:customStyle="1" w:styleId="WWNum34">
    <w:name w:val="WWNum34"/>
    <w:basedOn w:val="KeineListe"/>
    <w:rsid w:val="003C14BD"/>
    <w:pPr>
      <w:numPr>
        <w:numId w:val="34"/>
      </w:numPr>
    </w:pPr>
  </w:style>
  <w:style w:type="numbering" w:customStyle="1" w:styleId="WWNum35">
    <w:name w:val="WWNum35"/>
    <w:basedOn w:val="KeineListe"/>
    <w:rsid w:val="003C14BD"/>
    <w:pPr>
      <w:numPr>
        <w:numId w:val="35"/>
      </w:numPr>
    </w:pPr>
  </w:style>
  <w:style w:type="numbering" w:customStyle="1" w:styleId="WWNum36">
    <w:name w:val="WWNum36"/>
    <w:basedOn w:val="KeineListe"/>
    <w:rsid w:val="003C14BD"/>
    <w:pPr>
      <w:numPr>
        <w:numId w:val="36"/>
      </w:numPr>
    </w:pPr>
  </w:style>
  <w:style w:type="numbering" w:customStyle="1" w:styleId="WWNum37">
    <w:name w:val="WWNum37"/>
    <w:basedOn w:val="KeineListe"/>
    <w:rsid w:val="003C14BD"/>
    <w:pPr>
      <w:numPr>
        <w:numId w:val="37"/>
      </w:numPr>
    </w:pPr>
  </w:style>
  <w:style w:type="numbering" w:customStyle="1" w:styleId="WWNum38">
    <w:name w:val="WWNum38"/>
    <w:basedOn w:val="KeineListe"/>
    <w:rsid w:val="003C14BD"/>
    <w:pPr>
      <w:numPr>
        <w:numId w:val="38"/>
      </w:numPr>
    </w:pPr>
  </w:style>
  <w:style w:type="numbering" w:customStyle="1" w:styleId="WWNum39">
    <w:name w:val="WWNum39"/>
    <w:basedOn w:val="KeineListe"/>
    <w:rsid w:val="003C14BD"/>
    <w:pPr>
      <w:numPr>
        <w:numId w:val="39"/>
      </w:numPr>
    </w:pPr>
  </w:style>
  <w:style w:type="character" w:customStyle="1" w:styleId="berschrift1Zchn">
    <w:name w:val="Überschrift 1 Zchn"/>
    <w:basedOn w:val="Absatz-Standardschriftart"/>
    <w:link w:val="berschrift1"/>
    <w:rsid w:val="003D6E3F"/>
    <w:rPr>
      <w:rFonts w:eastAsia="Times New Roman" w:cs="Times New Roman"/>
      <w:b/>
      <w:kern w:val="0"/>
      <w:szCs w:val="20"/>
      <w:u w:val="single"/>
      <w:lang w:eastAsia="de-DE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6E3F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table" w:styleId="Tabellenraster">
    <w:name w:val="Table Grid"/>
    <w:basedOn w:val="NormaleTabelle"/>
    <w:uiPriority w:val="59"/>
    <w:rsid w:val="00175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FA826-9ED2-48BF-B2DE-9012029B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D82840E2.dotm</Template>
  <TotalTime>0</TotalTime>
  <Pages>2</Pages>
  <Words>541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U103007</cp:lastModifiedBy>
  <cp:revision>15</cp:revision>
  <cp:lastPrinted>2017-09-15T16:36:00Z</cp:lastPrinted>
  <dcterms:created xsi:type="dcterms:W3CDTF">2017-02-16T13:57:00Z</dcterms:created>
  <dcterms:modified xsi:type="dcterms:W3CDTF">2017-09-15T16:36:00Z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LHS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