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D34B44" w:rsidRDefault="003D7B0B" w:rsidP="00397717">
      <w:pPr>
        <w:jc w:val="right"/>
        <w:rPr>
          <w:rFonts w:cs="Arial"/>
        </w:rPr>
      </w:pPr>
      <w:r w:rsidRPr="00D34B44">
        <w:rPr>
          <w:rFonts w:cs="Arial"/>
        </w:rPr>
        <w:t xml:space="preserve">Anlage </w:t>
      </w:r>
      <w:r w:rsidR="00884D83">
        <w:rPr>
          <w:rFonts w:cs="Arial"/>
        </w:rPr>
        <w:t>44</w:t>
      </w:r>
      <w:r w:rsidRPr="00D34B44">
        <w:rPr>
          <w:rFonts w:cs="Arial"/>
        </w:rPr>
        <w:t xml:space="preserve"> zur GRDrs</w:t>
      </w:r>
      <w:r w:rsidR="009602D1">
        <w:rPr>
          <w:rFonts w:cs="Arial"/>
        </w:rPr>
        <w:t>.</w:t>
      </w:r>
      <w:r w:rsidRPr="00D34B44">
        <w:rPr>
          <w:rFonts w:cs="Arial"/>
        </w:rPr>
        <w:t xml:space="preserve"> </w:t>
      </w:r>
      <w:r w:rsidR="009602D1">
        <w:rPr>
          <w:rFonts w:cs="Arial"/>
        </w:rPr>
        <w:t>819</w:t>
      </w:r>
      <w:r w:rsidR="005F5B3D" w:rsidRPr="00D34B44">
        <w:rPr>
          <w:rFonts w:cs="Arial"/>
        </w:rPr>
        <w:t>/20</w:t>
      </w:r>
      <w:r w:rsidR="00AE7B02" w:rsidRPr="00D34B44">
        <w:rPr>
          <w:rFonts w:cs="Arial"/>
        </w:rPr>
        <w:t>2</w:t>
      </w:r>
      <w:r w:rsidR="00026253" w:rsidRPr="00D34B44">
        <w:rPr>
          <w:rFonts w:cs="Arial"/>
        </w:rPr>
        <w:t>3</w:t>
      </w:r>
    </w:p>
    <w:p w:rsidR="003D7B0B" w:rsidRDefault="003D7B0B" w:rsidP="006E0575">
      <w:pPr>
        <w:rPr>
          <w:rFonts w:cs="Arial"/>
        </w:rPr>
      </w:pPr>
    </w:p>
    <w:p w:rsidR="004D2FF3" w:rsidRPr="00D34B44" w:rsidRDefault="004D2FF3" w:rsidP="006E0575">
      <w:pPr>
        <w:rPr>
          <w:rFonts w:cs="Arial"/>
        </w:rPr>
      </w:pPr>
    </w:p>
    <w:p w:rsidR="003E0F4B" w:rsidRPr="00377B10" w:rsidRDefault="003D7B0B" w:rsidP="00397717">
      <w:pPr>
        <w:jc w:val="center"/>
        <w:rPr>
          <w:rFonts w:cs="Arial"/>
          <w:b/>
          <w:sz w:val="36"/>
          <w:szCs w:val="36"/>
        </w:rPr>
      </w:pPr>
      <w:r w:rsidRPr="00377B10">
        <w:rPr>
          <w:rFonts w:cs="Arial"/>
          <w:b/>
          <w:sz w:val="36"/>
          <w:szCs w:val="36"/>
          <w:u w:val="single"/>
        </w:rPr>
        <w:t>Stellenschaffun</w:t>
      </w:r>
      <w:r w:rsidRPr="00377B10">
        <w:rPr>
          <w:rFonts w:cs="Arial"/>
          <w:b/>
          <w:sz w:val="36"/>
          <w:szCs w:val="36"/>
        </w:rPr>
        <w:t>g</w:t>
      </w:r>
    </w:p>
    <w:p w:rsidR="003D7B0B" w:rsidRPr="00377B10" w:rsidRDefault="00184EDC" w:rsidP="00397717">
      <w:pPr>
        <w:jc w:val="center"/>
        <w:rPr>
          <w:rFonts w:cs="Arial"/>
          <w:b/>
          <w:sz w:val="36"/>
          <w:szCs w:val="36"/>
          <w:u w:val="single"/>
        </w:rPr>
      </w:pPr>
      <w:r w:rsidRPr="00377B10">
        <w:rPr>
          <w:rFonts w:cs="Arial"/>
          <w:b/>
          <w:sz w:val="36"/>
          <w:szCs w:val="36"/>
          <w:u w:val="single"/>
        </w:rPr>
        <w:t>zum Stellenplan 20</w:t>
      </w:r>
      <w:r w:rsidR="00DE362D" w:rsidRPr="00377B10">
        <w:rPr>
          <w:rFonts w:cs="Arial"/>
          <w:b/>
          <w:sz w:val="36"/>
          <w:szCs w:val="36"/>
          <w:u w:val="single"/>
        </w:rPr>
        <w:t>2</w:t>
      </w:r>
      <w:r w:rsidR="00F65767" w:rsidRPr="00377B10">
        <w:rPr>
          <w:rFonts w:cs="Arial"/>
          <w:b/>
          <w:sz w:val="36"/>
          <w:szCs w:val="36"/>
          <w:u w:val="single"/>
        </w:rPr>
        <w:t>4</w:t>
      </w:r>
    </w:p>
    <w:p w:rsidR="003D7B0B" w:rsidRPr="00377B10" w:rsidRDefault="003D7B0B" w:rsidP="006E0575">
      <w:pPr>
        <w:rPr>
          <w:rFonts w:cs="Arial"/>
          <w:sz w:val="28"/>
          <w:szCs w:val="28"/>
          <w:u w:val="single"/>
        </w:rPr>
      </w:pPr>
    </w:p>
    <w:p w:rsidR="00DE362D" w:rsidRPr="00D34B44" w:rsidRDefault="00DE362D" w:rsidP="006E0575">
      <w:pPr>
        <w:rPr>
          <w:rFonts w:cs="Arial"/>
          <w:u w:val="single"/>
        </w:rPr>
      </w:pPr>
    </w:p>
    <w:tbl>
      <w:tblPr>
        <w:tblW w:w="954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56"/>
        <w:gridCol w:w="1193"/>
        <w:gridCol w:w="1359"/>
        <w:gridCol w:w="1808"/>
        <w:gridCol w:w="992"/>
        <w:gridCol w:w="993"/>
        <w:gridCol w:w="1840"/>
      </w:tblGrid>
      <w:tr w:rsidR="00D87C4C" w:rsidRPr="0066776B" w:rsidTr="00C30E58">
        <w:trPr>
          <w:tblHeader/>
        </w:trPr>
        <w:tc>
          <w:tcPr>
            <w:tcW w:w="1356" w:type="dxa"/>
            <w:shd w:val="pct12" w:color="auto" w:fill="FFFFFF"/>
          </w:tcPr>
          <w:p w:rsidR="00DE362D" w:rsidRPr="0066776B" w:rsidRDefault="005F5B3D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Org.-Einheit</w:t>
            </w:r>
            <w:r w:rsidR="00380937" w:rsidRPr="0066776B">
              <w:rPr>
                <w:rFonts w:cs="Arial"/>
                <w:sz w:val="20"/>
                <w:szCs w:val="20"/>
              </w:rPr>
              <w:t>,</w:t>
            </w:r>
          </w:p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Kostenstelle</w:t>
            </w:r>
          </w:p>
        </w:tc>
        <w:tc>
          <w:tcPr>
            <w:tcW w:w="1193" w:type="dxa"/>
            <w:shd w:val="pct12" w:color="auto" w:fill="FFFFFF"/>
          </w:tcPr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Amt</w:t>
            </w:r>
          </w:p>
        </w:tc>
        <w:tc>
          <w:tcPr>
            <w:tcW w:w="1359" w:type="dxa"/>
            <w:shd w:val="pct12" w:color="auto" w:fill="FFFFFF"/>
          </w:tcPr>
          <w:p w:rsidR="00DE362D" w:rsidRPr="0066776B" w:rsidRDefault="00606F80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BesGr.</w:t>
            </w:r>
          </w:p>
          <w:p w:rsidR="00DE362D" w:rsidRPr="0066776B" w:rsidRDefault="00606F80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oder</w:t>
            </w:r>
          </w:p>
          <w:p w:rsidR="00606F80" w:rsidRPr="0066776B" w:rsidRDefault="00606F80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EG</w:t>
            </w:r>
          </w:p>
        </w:tc>
        <w:tc>
          <w:tcPr>
            <w:tcW w:w="1808" w:type="dxa"/>
            <w:shd w:val="pct12" w:color="auto" w:fill="FFFFFF"/>
          </w:tcPr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Funktions</w:t>
            </w:r>
            <w:r w:rsidR="003E0F4B" w:rsidRPr="0066776B">
              <w:rPr>
                <w:rFonts w:cs="Arial"/>
                <w:sz w:val="20"/>
                <w:szCs w:val="20"/>
              </w:rPr>
              <w:t>-</w:t>
            </w:r>
            <w:r w:rsidR="003E0F4B" w:rsidRPr="0066776B">
              <w:rPr>
                <w:rFonts w:cs="Arial"/>
                <w:sz w:val="20"/>
                <w:szCs w:val="20"/>
              </w:rPr>
              <w:br/>
            </w:r>
            <w:r w:rsidRPr="0066776B">
              <w:rPr>
                <w:rFonts w:cs="Arial"/>
                <w:sz w:val="20"/>
                <w:szCs w:val="20"/>
              </w:rPr>
              <w:t>bezeichnung</w:t>
            </w:r>
          </w:p>
        </w:tc>
        <w:tc>
          <w:tcPr>
            <w:tcW w:w="992" w:type="dxa"/>
            <w:shd w:val="pct12" w:color="auto" w:fill="FFFFFF"/>
          </w:tcPr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Anzahl</w:t>
            </w:r>
            <w:r w:rsidRPr="0066776B">
              <w:rPr>
                <w:rFonts w:cs="Arial"/>
                <w:sz w:val="20"/>
                <w:szCs w:val="20"/>
              </w:rPr>
              <w:br/>
              <w:t>der</w:t>
            </w:r>
            <w:r w:rsidRPr="0066776B">
              <w:rPr>
                <w:rFonts w:cs="Arial"/>
                <w:sz w:val="20"/>
                <w:szCs w:val="20"/>
              </w:rPr>
              <w:br/>
              <w:t>Stellen</w:t>
            </w:r>
          </w:p>
        </w:tc>
        <w:tc>
          <w:tcPr>
            <w:tcW w:w="993" w:type="dxa"/>
            <w:shd w:val="pct12" w:color="auto" w:fill="FFFFFF"/>
          </w:tcPr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Stellen-</w:t>
            </w:r>
            <w:r w:rsidRPr="0066776B">
              <w:rPr>
                <w:rFonts w:cs="Arial"/>
                <w:sz w:val="20"/>
                <w:szCs w:val="20"/>
              </w:rPr>
              <w:br/>
              <w:t>vermerk</w:t>
            </w:r>
          </w:p>
        </w:tc>
        <w:tc>
          <w:tcPr>
            <w:tcW w:w="1840" w:type="dxa"/>
            <w:shd w:val="pct12" w:color="auto" w:fill="FFFFFF"/>
          </w:tcPr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durchschnittl</w:t>
            </w:r>
            <w:r w:rsidR="003E0F4B" w:rsidRPr="0066776B">
              <w:rPr>
                <w:rFonts w:cs="Arial"/>
                <w:sz w:val="20"/>
                <w:szCs w:val="20"/>
              </w:rPr>
              <w:t>icher</w:t>
            </w:r>
            <w:r w:rsidRPr="0066776B">
              <w:rPr>
                <w:rFonts w:cs="Arial"/>
                <w:sz w:val="20"/>
                <w:szCs w:val="20"/>
              </w:rPr>
              <w:br/>
            </w:r>
            <w:r w:rsidR="003E0F4B" w:rsidRPr="0066776B">
              <w:rPr>
                <w:rFonts w:cs="Arial"/>
                <w:sz w:val="20"/>
                <w:szCs w:val="20"/>
              </w:rPr>
              <w:t>jährlicher</w:t>
            </w:r>
            <w:r w:rsidR="003E0F4B" w:rsidRPr="0066776B">
              <w:rPr>
                <w:rFonts w:cs="Arial"/>
                <w:sz w:val="20"/>
                <w:szCs w:val="20"/>
              </w:rPr>
              <w:br/>
              <w:t>kosten</w:t>
            </w:r>
            <w:r w:rsidRPr="0066776B">
              <w:rPr>
                <w:rFonts w:cs="Arial"/>
                <w:sz w:val="20"/>
                <w:szCs w:val="20"/>
              </w:rPr>
              <w:t>wirksamer</w:t>
            </w:r>
            <w:r w:rsidRPr="0066776B">
              <w:rPr>
                <w:rFonts w:cs="Arial"/>
                <w:sz w:val="20"/>
                <w:szCs w:val="20"/>
              </w:rPr>
              <w:br/>
              <w:t>Aufwand</w:t>
            </w:r>
            <w:r w:rsidR="0066776B">
              <w:rPr>
                <w:rFonts w:cs="Arial"/>
                <w:sz w:val="20"/>
                <w:szCs w:val="20"/>
              </w:rPr>
              <w:t xml:space="preserve"> </w:t>
            </w:r>
            <w:r w:rsidR="003F0FAA" w:rsidRPr="0066776B">
              <w:rPr>
                <w:rFonts w:cs="Arial"/>
                <w:sz w:val="20"/>
                <w:szCs w:val="20"/>
              </w:rPr>
              <w:t xml:space="preserve">in </w:t>
            </w:r>
            <w:r w:rsidRPr="0066776B">
              <w:rPr>
                <w:rFonts w:cs="Arial"/>
                <w:sz w:val="20"/>
                <w:szCs w:val="20"/>
              </w:rPr>
              <w:t>Euro</w:t>
            </w:r>
          </w:p>
        </w:tc>
      </w:tr>
      <w:tr w:rsidR="005F5B3D" w:rsidRPr="0066776B" w:rsidTr="00C30E58">
        <w:tc>
          <w:tcPr>
            <w:tcW w:w="1356" w:type="dxa"/>
          </w:tcPr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</w:p>
          <w:p w:rsidR="005F5B3D" w:rsidRDefault="00A06F1E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41</w:t>
            </w:r>
            <w:r w:rsidR="00C30E58">
              <w:rPr>
                <w:rFonts w:cs="Arial"/>
                <w:sz w:val="20"/>
                <w:szCs w:val="20"/>
              </w:rPr>
              <w:t>-1</w:t>
            </w:r>
            <w:r w:rsidR="009602D1">
              <w:rPr>
                <w:rFonts w:cs="Arial"/>
                <w:sz w:val="20"/>
                <w:szCs w:val="20"/>
              </w:rPr>
              <w:t>.2</w:t>
            </w:r>
          </w:p>
          <w:p w:rsidR="00884D83" w:rsidRDefault="00884D83" w:rsidP="0066776B">
            <w:pPr>
              <w:rPr>
                <w:rFonts w:cs="Arial"/>
                <w:sz w:val="20"/>
                <w:szCs w:val="20"/>
              </w:rPr>
            </w:pPr>
          </w:p>
          <w:p w:rsidR="005F5B3D" w:rsidRDefault="00A06F1E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t>4110</w:t>
            </w:r>
            <w:r w:rsidR="00246DDE">
              <w:rPr>
                <w:rFonts w:cs="Arial"/>
                <w:sz w:val="20"/>
                <w:szCs w:val="20"/>
              </w:rPr>
              <w:t xml:space="preserve"> </w:t>
            </w:r>
            <w:r w:rsidRPr="0066776B">
              <w:rPr>
                <w:rFonts w:cs="Arial"/>
                <w:sz w:val="20"/>
                <w:szCs w:val="20"/>
              </w:rPr>
              <w:t>1010</w:t>
            </w:r>
          </w:p>
          <w:p w:rsidR="00F272AD" w:rsidRPr="0066776B" w:rsidRDefault="00F272AD" w:rsidP="0066776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</w:p>
          <w:p w:rsidR="005F5B3D" w:rsidRPr="0066776B" w:rsidRDefault="009F3DD7" w:rsidP="009F3DD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Kulturamt </w:t>
            </w:r>
          </w:p>
        </w:tc>
        <w:tc>
          <w:tcPr>
            <w:tcW w:w="1359" w:type="dxa"/>
          </w:tcPr>
          <w:p w:rsidR="005F5B3D" w:rsidRDefault="005F5B3D" w:rsidP="0066776B">
            <w:pPr>
              <w:rPr>
                <w:rFonts w:cs="Arial"/>
                <w:sz w:val="20"/>
                <w:szCs w:val="20"/>
              </w:rPr>
            </w:pPr>
          </w:p>
          <w:p w:rsidR="00A21FD5" w:rsidRPr="0066776B" w:rsidRDefault="00A21FD5" w:rsidP="00C30E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11</w:t>
            </w:r>
          </w:p>
        </w:tc>
        <w:tc>
          <w:tcPr>
            <w:tcW w:w="1808" w:type="dxa"/>
          </w:tcPr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</w:p>
          <w:p w:rsidR="00075D50" w:rsidRPr="0066776B" w:rsidRDefault="009F3DD7" w:rsidP="009602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Sachbearbeiter</w:t>
            </w:r>
            <w:r w:rsidR="009602D1">
              <w:rPr>
                <w:rFonts w:cs="Arial"/>
                <w:sz w:val="20"/>
                <w:szCs w:val="20"/>
              </w:rPr>
              <w:t>/-</w:t>
            </w:r>
            <w:r w:rsidR="001F5B28">
              <w:rPr>
                <w:rFonts w:cs="Arial"/>
                <w:sz w:val="20"/>
                <w:szCs w:val="20"/>
              </w:rPr>
              <w:t xml:space="preserve">in </w:t>
            </w:r>
          </w:p>
        </w:tc>
        <w:tc>
          <w:tcPr>
            <w:tcW w:w="992" w:type="dxa"/>
            <w:shd w:val="pct12" w:color="auto" w:fill="FFFFFF"/>
          </w:tcPr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</w:p>
          <w:p w:rsidR="005F5B3D" w:rsidRPr="0066776B" w:rsidRDefault="00246DDE" w:rsidP="006677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</w:p>
          <w:p w:rsidR="005F5B3D" w:rsidRPr="0066776B" w:rsidRDefault="0072799A" w:rsidP="0066776B">
            <w:pPr>
              <w:rPr>
                <w:rFonts w:cs="Arial"/>
                <w:sz w:val="20"/>
                <w:szCs w:val="20"/>
              </w:rPr>
            </w:pPr>
            <w:r w:rsidRPr="0066776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 w:rsidRPr="0066776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6776B">
              <w:rPr>
                <w:rFonts w:cs="Arial"/>
                <w:sz w:val="20"/>
                <w:szCs w:val="20"/>
              </w:rPr>
            </w:r>
            <w:r w:rsidRPr="0066776B">
              <w:rPr>
                <w:rFonts w:cs="Arial"/>
                <w:sz w:val="20"/>
                <w:szCs w:val="20"/>
              </w:rPr>
              <w:fldChar w:fldCharType="separate"/>
            </w:r>
            <w:r w:rsidR="00884D83">
              <w:rPr>
                <w:rFonts w:cs="Arial"/>
                <w:noProof/>
                <w:sz w:val="20"/>
                <w:szCs w:val="20"/>
              </w:rPr>
              <w:t> </w:t>
            </w:r>
            <w:r w:rsidR="00884D83">
              <w:rPr>
                <w:rFonts w:cs="Arial"/>
                <w:noProof/>
                <w:sz w:val="20"/>
                <w:szCs w:val="20"/>
              </w:rPr>
              <w:t> </w:t>
            </w:r>
            <w:r w:rsidR="00884D83">
              <w:rPr>
                <w:rFonts w:cs="Arial"/>
                <w:noProof/>
                <w:sz w:val="20"/>
                <w:szCs w:val="20"/>
              </w:rPr>
              <w:t> </w:t>
            </w:r>
            <w:r w:rsidR="00884D83">
              <w:rPr>
                <w:rFonts w:cs="Arial"/>
                <w:noProof/>
                <w:sz w:val="20"/>
                <w:szCs w:val="20"/>
              </w:rPr>
              <w:t> </w:t>
            </w:r>
            <w:r w:rsidR="00884D83">
              <w:rPr>
                <w:rFonts w:cs="Arial"/>
                <w:noProof/>
                <w:sz w:val="20"/>
                <w:szCs w:val="20"/>
              </w:rPr>
              <w:t> </w:t>
            </w:r>
            <w:r w:rsidRPr="0066776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0" w:type="dxa"/>
          </w:tcPr>
          <w:p w:rsidR="005F5B3D" w:rsidRPr="0066776B" w:rsidRDefault="005F5B3D" w:rsidP="0066776B">
            <w:pPr>
              <w:rPr>
                <w:rFonts w:cs="Arial"/>
                <w:sz w:val="20"/>
                <w:szCs w:val="20"/>
              </w:rPr>
            </w:pPr>
          </w:p>
          <w:p w:rsidR="005F5B3D" w:rsidRPr="0066776B" w:rsidRDefault="009945E4" w:rsidP="006677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104.400</w:t>
            </w:r>
          </w:p>
        </w:tc>
      </w:tr>
    </w:tbl>
    <w:p w:rsidR="003D7B0B" w:rsidRPr="00D34B44" w:rsidRDefault="006E0575" w:rsidP="00884D6C">
      <w:pPr>
        <w:pStyle w:val="berschrift1"/>
        <w:rPr>
          <w:rFonts w:cs="Arial"/>
        </w:rPr>
      </w:pPr>
      <w:r w:rsidRPr="00D34B44">
        <w:rPr>
          <w:rFonts w:cs="Arial"/>
        </w:rPr>
        <w:t>1</w:t>
      </w:r>
      <w:r w:rsidR="00884D6C" w:rsidRPr="00D34B44">
        <w:rPr>
          <w:rFonts w:cs="Arial"/>
        </w:rPr>
        <w:tab/>
      </w:r>
      <w:r w:rsidR="003D7B0B" w:rsidRPr="00D34B44">
        <w:rPr>
          <w:rFonts w:cs="Arial"/>
        </w:rPr>
        <w:t>Antra</w:t>
      </w:r>
      <w:r w:rsidR="003D7B0B" w:rsidRPr="00D34B44">
        <w:rPr>
          <w:rFonts w:cs="Arial"/>
          <w:u w:val="none"/>
        </w:rPr>
        <w:t>g</w:t>
      </w:r>
      <w:r w:rsidR="003D7B0B" w:rsidRPr="00D34B44">
        <w:rPr>
          <w:rFonts w:cs="Arial"/>
        </w:rPr>
        <w:t>, Stellenausstattun</w:t>
      </w:r>
      <w:r w:rsidR="003D7B0B" w:rsidRPr="00D34B44">
        <w:rPr>
          <w:rFonts w:cs="Arial"/>
          <w:u w:val="none"/>
        </w:rPr>
        <w:t>g</w:t>
      </w:r>
    </w:p>
    <w:p w:rsidR="003D7B0B" w:rsidRPr="00D34B44" w:rsidRDefault="003D7B0B" w:rsidP="00884D6C">
      <w:pPr>
        <w:rPr>
          <w:rFonts w:cs="Arial"/>
        </w:rPr>
      </w:pPr>
    </w:p>
    <w:p w:rsidR="00246DDE" w:rsidRDefault="00246DDE" w:rsidP="00246DDE">
      <w:pPr>
        <w:rPr>
          <w:rFonts w:cs="Arial"/>
        </w:rPr>
      </w:pPr>
      <w:r w:rsidRPr="00385668">
        <w:t xml:space="preserve">Geschaffen wird </w:t>
      </w:r>
      <w:bookmarkStart w:id="0" w:name="_GoBack"/>
      <w:bookmarkEnd w:id="0"/>
      <w:r>
        <w:t>1,0</w:t>
      </w:r>
      <w:r w:rsidRPr="00385668">
        <w:t xml:space="preserve"> Sachbearbeitungsstelle </w:t>
      </w:r>
      <w:r>
        <w:t xml:space="preserve">Finanzen </w:t>
      </w:r>
      <w:r w:rsidRPr="00385668">
        <w:t>in Bes</w:t>
      </w:r>
      <w:r w:rsidR="009602D1">
        <w:t>.-</w:t>
      </w:r>
      <w:r w:rsidRPr="00385668">
        <w:t>Gr. A</w:t>
      </w:r>
      <w:r>
        <w:t xml:space="preserve"> 11</w:t>
      </w:r>
      <w:r w:rsidRPr="00385668">
        <w:t xml:space="preserve"> </w:t>
      </w:r>
      <w:r>
        <w:t xml:space="preserve">im </w:t>
      </w:r>
      <w:r w:rsidR="002F625C">
        <w:rPr>
          <w:rFonts w:cs="Arial"/>
        </w:rPr>
        <w:t>S</w:t>
      </w:r>
      <w:r>
        <w:rPr>
          <w:rFonts w:cs="Arial"/>
        </w:rPr>
        <w:t>achgebiet Finanzen, Controlling (41-1.2) beim Kulturamt.</w:t>
      </w:r>
    </w:p>
    <w:p w:rsidR="003D7B0B" w:rsidRPr="00D34B44" w:rsidRDefault="003D7B0B" w:rsidP="00884D6C">
      <w:pPr>
        <w:pStyle w:val="berschrift1"/>
        <w:rPr>
          <w:rFonts w:cs="Arial"/>
        </w:rPr>
      </w:pPr>
      <w:r w:rsidRPr="00D34B44">
        <w:rPr>
          <w:rFonts w:cs="Arial"/>
        </w:rPr>
        <w:t>2</w:t>
      </w:r>
      <w:r w:rsidRPr="00D34B44">
        <w:rPr>
          <w:rFonts w:cs="Arial"/>
        </w:rPr>
        <w:tab/>
        <w:t>Schaffun</w:t>
      </w:r>
      <w:r w:rsidRPr="00D34B44">
        <w:rPr>
          <w:rFonts w:cs="Arial"/>
          <w:u w:val="none"/>
        </w:rPr>
        <w:t>g</w:t>
      </w:r>
      <w:r w:rsidRPr="00D34B44">
        <w:rPr>
          <w:rFonts w:cs="Arial"/>
        </w:rPr>
        <w:t>skriterien</w:t>
      </w:r>
    </w:p>
    <w:p w:rsidR="003D7B0B" w:rsidRPr="00D34B44" w:rsidRDefault="003D7B0B" w:rsidP="00884D6C">
      <w:pPr>
        <w:rPr>
          <w:rFonts w:cs="Arial"/>
        </w:rPr>
      </w:pPr>
    </w:p>
    <w:p w:rsidR="009F3DD7" w:rsidRPr="00C30E58" w:rsidRDefault="00246DDE" w:rsidP="00884D6C">
      <w:r>
        <w:t xml:space="preserve">Das Kriterium der Arbeitsvermehrung wird im Umfang einer 1,0 </w:t>
      </w:r>
      <w:r w:rsidR="00C30E58">
        <w:t xml:space="preserve">Stelle </w:t>
      </w:r>
      <w:r>
        <w:t xml:space="preserve">erfüllt. </w:t>
      </w:r>
    </w:p>
    <w:p w:rsidR="003D7B0B" w:rsidRPr="00D34B44" w:rsidRDefault="003D7B0B" w:rsidP="00884D6C">
      <w:pPr>
        <w:pStyle w:val="berschrift1"/>
        <w:rPr>
          <w:rFonts w:cs="Arial"/>
        </w:rPr>
      </w:pPr>
      <w:r w:rsidRPr="00D34B44">
        <w:rPr>
          <w:rFonts w:cs="Arial"/>
        </w:rPr>
        <w:t>3</w:t>
      </w:r>
      <w:r w:rsidRPr="00D34B44">
        <w:rPr>
          <w:rFonts w:cs="Arial"/>
        </w:rPr>
        <w:tab/>
        <w:t>Bedarf</w:t>
      </w:r>
    </w:p>
    <w:p w:rsidR="003D7B0B" w:rsidRPr="00D34B44" w:rsidRDefault="00884D6C" w:rsidP="00884D6C">
      <w:pPr>
        <w:pStyle w:val="berschrift2"/>
        <w:rPr>
          <w:rFonts w:cs="Arial"/>
        </w:rPr>
      </w:pPr>
      <w:r w:rsidRPr="00D34B44">
        <w:rPr>
          <w:rFonts w:cs="Arial"/>
        </w:rPr>
        <w:t>3.1</w:t>
      </w:r>
      <w:r w:rsidRPr="00D34B44">
        <w:rPr>
          <w:rFonts w:cs="Arial"/>
        </w:rPr>
        <w:tab/>
      </w:r>
      <w:r w:rsidR="006E0575" w:rsidRPr="00D34B44">
        <w:rPr>
          <w:rFonts w:cs="Arial"/>
        </w:rPr>
        <w:t>Anlass</w:t>
      </w:r>
    </w:p>
    <w:p w:rsidR="003D7B0B" w:rsidRPr="00D34B44" w:rsidRDefault="003D7B0B" w:rsidP="00884D6C">
      <w:pPr>
        <w:rPr>
          <w:rFonts w:cs="Arial"/>
        </w:rPr>
      </w:pPr>
    </w:p>
    <w:p w:rsidR="00C30E58" w:rsidRDefault="00246DDE" w:rsidP="00E9543A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1A4758">
        <w:rPr>
          <w:rFonts w:cs="Arial"/>
          <w:color w:val="000000"/>
        </w:rPr>
        <w:t xml:space="preserve">as Kulturamt </w:t>
      </w:r>
      <w:r>
        <w:rPr>
          <w:rFonts w:cs="Arial"/>
          <w:color w:val="000000"/>
        </w:rPr>
        <w:t xml:space="preserve">besteht mittlerweile aus </w:t>
      </w:r>
      <w:r w:rsidR="00E9543A" w:rsidRPr="00D34B44">
        <w:rPr>
          <w:rFonts w:cs="Arial"/>
          <w:color w:val="000000"/>
        </w:rPr>
        <w:t>acht Abteilungen</w:t>
      </w:r>
      <w:r>
        <w:rPr>
          <w:rFonts w:cs="Arial"/>
          <w:color w:val="000000"/>
        </w:rPr>
        <w:t xml:space="preserve"> und zwei Koordinierungsstellen </w:t>
      </w:r>
      <w:r w:rsidR="00E9543A" w:rsidRPr="00D34B44">
        <w:rPr>
          <w:rFonts w:cs="Arial"/>
          <w:color w:val="000000"/>
        </w:rPr>
        <w:t xml:space="preserve">mit sehr unterschiedlichen Aufgabenstellungen. Fülle und Komplexität der jeweiligen Aufgaben sind in den letzten Jahren kontinuierlich in bedeutendem Umfang gestiegen. Sichtbaren Ausdruck findet diese Entwicklung im Budget des Amtes: Betrug es im Jahr 2017 noch rd. 133 Mio. </w:t>
      </w:r>
      <w:r w:rsidR="009602D1">
        <w:rPr>
          <w:rFonts w:cs="Arial"/>
          <w:color w:val="000000"/>
        </w:rPr>
        <w:t>€</w:t>
      </w:r>
      <w:r w:rsidR="00E9543A" w:rsidRPr="00D34B44">
        <w:rPr>
          <w:rFonts w:cs="Arial"/>
          <w:color w:val="000000"/>
        </w:rPr>
        <w:t xml:space="preserve">, </w:t>
      </w:r>
      <w:r w:rsidR="00C30E58">
        <w:rPr>
          <w:rFonts w:cs="Arial"/>
          <w:color w:val="000000"/>
        </w:rPr>
        <w:t xml:space="preserve">umfasst </w:t>
      </w:r>
      <w:r>
        <w:rPr>
          <w:rFonts w:cs="Arial"/>
          <w:color w:val="000000"/>
        </w:rPr>
        <w:t>da</w:t>
      </w:r>
      <w:r w:rsidR="00E9543A" w:rsidRPr="00D34B44">
        <w:rPr>
          <w:rFonts w:cs="Arial"/>
          <w:color w:val="000000"/>
        </w:rPr>
        <w:t xml:space="preserve">s aktuelle Ausgabenbudget im Ergebnishaushalt </w:t>
      </w:r>
      <w:r w:rsidR="009602D1">
        <w:rPr>
          <w:rFonts w:cs="Arial"/>
          <w:color w:val="000000"/>
        </w:rPr>
        <w:t xml:space="preserve">2022 </w:t>
      </w:r>
      <w:r w:rsidR="00E9543A" w:rsidRPr="00D34B44">
        <w:rPr>
          <w:rFonts w:cs="Arial"/>
          <w:color w:val="000000"/>
        </w:rPr>
        <w:t xml:space="preserve">rd. 166 Mio. </w:t>
      </w:r>
      <w:r w:rsidR="009602D1">
        <w:rPr>
          <w:rFonts w:cs="Arial"/>
          <w:color w:val="000000"/>
        </w:rPr>
        <w:t>€</w:t>
      </w:r>
      <w:r w:rsidR="00E9543A" w:rsidRPr="00D34B44">
        <w:rPr>
          <w:rFonts w:cs="Arial"/>
          <w:color w:val="000000"/>
        </w:rPr>
        <w:t>/Jahr</w:t>
      </w:r>
      <w:r w:rsidR="00C30E58">
        <w:rPr>
          <w:rFonts w:cs="Arial"/>
          <w:color w:val="000000"/>
        </w:rPr>
        <w:t>.</w:t>
      </w:r>
    </w:p>
    <w:p w:rsidR="00C30E58" w:rsidRDefault="00C30E58" w:rsidP="00E9543A">
      <w:pPr>
        <w:autoSpaceDE w:val="0"/>
        <w:autoSpaceDN w:val="0"/>
        <w:adjustRightInd w:val="0"/>
        <w:rPr>
          <w:rFonts w:cs="Arial"/>
          <w:color w:val="000000"/>
        </w:rPr>
      </w:pPr>
    </w:p>
    <w:p w:rsidR="000A33D4" w:rsidRDefault="000A33D4" w:rsidP="000A33D4">
      <w:pPr>
        <w:autoSpaceDE w:val="0"/>
        <w:autoSpaceDN w:val="0"/>
        <w:adjustRightInd w:val="0"/>
        <w:rPr>
          <w:rFonts w:cs="Arial"/>
          <w:color w:val="000000"/>
        </w:rPr>
      </w:pPr>
      <w:r w:rsidRPr="00D34B44">
        <w:rPr>
          <w:rFonts w:cs="Arial"/>
          <w:color w:val="000000"/>
        </w:rPr>
        <w:t>Die Einwerbung von Sponsoringmittel</w:t>
      </w:r>
      <w:r>
        <w:rPr>
          <w:rFonts w:cs="Arial"/>
          <w:color w:val="000000"/>
        </w:rPr>
        <w:t>n</w:t>
      </w:r>
      <w:r w:rsidRPr="00D34B44">
        <w:rPr>
          <w:rFonts w:cs="Arial"/>
          <w:color w:val="000000"/>
        </w:rPr>
        <w:t xml:space="preserve">, Spenden und Zuschüssen zur Finanzierung von Kulturausgaben ist in den letzten Jahren </w:t>
      </w:r>
      <w:r w:rsidR="00C30E58">
        <w:rPr>
          <w:rFonts w:cs="Arial"/>
          <w:color w:val="000000"/>
        </w:rPr>
        <w:t xml:space="preserve">ebenfalls </w:t>
      </w:r>
      <w:r w:rsidRPr="00D34B44">
        <w:rPr>
          <w:rFonts w:cs="Arial"/>
          <w:color w:val="000000"/>
        </w:rPr>
        <w:t>stark gestiegen und damit auch der Bearbeitungsaufwand beim Abschluss von Verträgen.</w:t>
      </w:r>
      <w:r w:rsidR="009F3DD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Auch künftig wird das Einwerben von Finanzmitteln weiter an Bedeutung gewinnen.</w:t>
      </w:r>
    </w:p>
    <w:p w:rsidR="00C30E58" w:rsidRDefault="00C30E58" w:rsidP="00E9543A">
      <w:pPr>
        <w:autoSpaceDE w:val="0"/>
        <w:autoSpaceDN w:val="0"/>
        <w:adjustRightInd w:val="0"/>
        <w:rPr>
          <w:rFonts w:cs="Arial"/>
          <w:color w:val="000000"/>
        </w:rPr>
      </w:pPr>
    </w:p>
    <w:p w:rsidR="00E9543A" w:rsidRDefault="00E9543A" w:rsidP="00E9543A">
      <w:pPr>
        <w:autoSpaceDE w:val="0"/>
        <w:autoSpaceDN w:val="0"/>
        <w:adjustRightInd w:val="0"/>
        <w:rPr>
          <w:rFonts w:cs="Arial"/>
          <w:color w:val="000000"/>
        </w:rPr>
      </w:pPr>
      <w:r w:rsidRPr="00D34B44">
        <w:rPr>
          <w:rFonts w:cs="Arial"/>
          <w:color w:val="000000"/>
        </w:rPr>
        <w:t>Bei den Abteilungen Musikschule, Stadtbibliothek, Planetarium, Stuttgar</w:t>
      </w:r>
      <w:r w:rsidR="004D2FF3">
        <w:rPr>
          <w:rFonts w:cs="Arial"/>
          <w:color w:val="000000"/>
        </w:rPr>
        <w:t>ter Philharmoniker, Museum für Stuttgart</w:t>
      </w:r>
      <w:r w:rsidR="009D2344">
        <w:rPr>
          <w:rFonts w:cs="Arial"/>
          <w:color w:val="000000"/>
        </w:rPr>
        <w:t xml:space="preserve"> </w:t>
      </w:r>
      <w:r w:rsidRPr="00D34B44">
        <w:rPr>
          <w:rFonts w:cs="Arial"/>
          <w:color w:val="000000"/>
        </w:rPr>
        <w:t xml:space="preserve">sowie den Bereichen Überlassung Kunstwerke an </w:t>
      </w:r>
      <w:r w:rsidR="009602D1">
        <w:rPr>
          <w:rFonts w:cs="Arial"/>
          <w:color w:val="000000"/>
        </w:rPr>
        <w:t xml:space="preserve">die </w:t>
      </w:r>
      <w:r w:rsidRPr="00D34B44">
        <w:rPr>
          <w:rFonts w:cs="Arial"/>
          <w:color w:val="000000"/>
        </w:rPr>
        <w:t xml:space="preserve">Kunstmuseum </w:t>
      </w:r>
      <w:r w:rsidR="009602D1" w:rsidRPr="00D34B44">
        <w:rPr>
          <w:rFonts w:cs="Arial"/>
          <w:color w:val="000000"/>
        </w:rPr>
        <w:t xml:space="preserve">gGmbH </w:t>
      </w:r>
      <w:r w:rsidRPr="00D34B44">
        <w:rPr>
          <w:rFonts w:cs="Arial"/>
          <w:color w:val="000000"/>
        </w:rPr>
        <w:t xml:space="preserve">und dem Planungsstab Villa Berg </w:t>
      </w:r>
      <w:r w:rsidR="009602D1">
        <w:rPr>
          <w:rFonts w:cs="Arial"/>
          <w:color w:val="000000"/>
        </w:rPr>
        <w:t>(Start im Jahr</w:t>
      </w:r>
      <w:r w:rsidR="009D2344">
        <w:rPr>
          <w:rFonts w:cs="Arial"/>
          <w:color w:val="000000"/>
        </w:rPr>
        <w:t xml:space="preserve"> 2020) </w:t>
      </w:r>
      <w:r w:rsidRPr="00D34B44">
        <w:rPr>
          <w:rFonts w:cs="Arial"/>
          <w:color w:val="000000"/>
        </w:rPr>
        <w:t>handelt es sich um Betriebe gewerblicher Art, bei denen das Thema „Steuern“ eine besondere Rolle spielt.</w:t>
      </w:r>
    </w:p>
    <w:p w:rsidR="00A21FD5" w:rsidRDefault="00A21FD5" w:rsidP="00E9543A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C30E58" w:rsidRDefault="00A21FD5" w:rsidP="00E9543A">
      <w:pPr>
        <w:autoSpaceDE w:val="0"/>
        <w:autoSpaceDN w:val="0"/>
        <w:adjustRightInd w:val="0"/>
        <w:rPr>
          <w:rFonts w:cs="Arial"/>
          <w:color w:val="000000"/>
        </w:rPr>
      </w:pPr>
      <w:r w:rsidRPr="00A21FD5">
        <w:rPr>
          <w:rFonts w:cs="Arial"/>
          <w:bCs/>
          <w:szCs w:val="22"/>
        </w:rPr>
        <w:lastRenderedPageBreak/>
        <w:t xml:space="preserve">Nicht nur die Quantität der Bearbeitung, sondern auch die Qualität und die Anforderungen an die Rechnungsbearbeitung und steuerrechtliche Beurteilung sind </w:t>
      </w:r>
      <w:r w:rsidR="006B5CE6">
        <w:rPr>
          <w:rFonts w:cs="Arial"/>
          <w:bCs/>
          <w:szCs w:val="22"/>
        </w:rPr>
        <w:t>in den letzten Jahren</w:t>
      </w:r>
      <w:r w:rsidRPr="00A21FD5">
        <w:rPr>
          <w:rFonts w:cs="Arial"/>
          <w:bCs/>
          <w:szCs w:val="22"/>
        </w:rPr>
        <w:t xml:space="preserve"> enorm gestiegen.</w:t>
      </w:r>
      <w:r>
        <w:rPr>
          <w:rFonts w:cs="Arial"/>
          <w:bCs/>
          <w:szCs w:val="22"/>
        </w:rPr>
        <w:t xml:space="preserve"> </w:t>
      </w:r>
      <w:r w:rsidR="0066776B" w:rsidRPr="00D34B44">
        <w:rPr>
          <w:rFonts w:cs="Arial"/>
          <w:color w:val="000000"/>
        </w:rPr>
        <w:t>Eine Vielzahl von neuen Steuerkennzeichen wurde in den letzten Jahren im Bereich des Waren- und Leistungsbezugs aus dem Ausland bei der LHS eingeführt (innergemeinschaftlicher Erwerb und Steuerschuldnerschaft gem. § 13b UStG).</w:t>
      </w:r>
      <w:r w:rsidR="003E2EC6">
        <w:rPr>
          <w:rFonts w:cs="Arial"/>
          <w:color w:val="000000"/>
        </w:rPr>
        <w:t xml:space="preserve"> </w:t>
      </w:r>
    </w:p>
    <w:p w:rsidR="00C30E58" w:rsidRDefault="00C30E58" w:rsidP="00E9543A">
      <w:pPr>
        <w:autoSpaceDE w:val="0"/>
        <w:autoSpaceDN w:val="0"/>
        <w:adjustRightInd w:val="0"/>
        <w:rPr>
          <w:rFonts w:cs="Arial"/>
          <w:color w:val="000000"/>
        </w:rPr>
      </w:pPr>
    </w:p>
    <w:p w:rsidR="00A21FD5" w:rsidRPr="00C30E58" w:rsidRDefault="00B23F53" w:rsidP="00A21FD5">
      <w:pPr>
        <w:autoSpaceDE w:val="0"/>
        <w:autoSpaceDN w:val="0"/>
        <w:adjustRightInd w:val="0"/>
        <w:rPr>
          <w:rFonts w:cs="Arial"/>
          <w:color w:val="000000"/>
        </w:rPr>
      </w:pPr>
      <w:r w:rsidRPr="00D34B44">
        <w:rPr>
          <w:rFonts w:cs="Arial"/>
          <w:color w:val="000000"/>
        </w:rPr>
        <w:t xml:space="preserve">Ein besonderer Aufwand entsteht im Bereich </w:t>
      </w:r>
      <w:r w:rsidR="009602D1">
        <w:rPr>
          <w:rFonts w:cs="Arial"/>
          <w:color w:val="000000"/>
        </w:rPr>
        <w:t>der</w:t>
      </w:r>
      <w:r w:rsidRPr="00D34B44">
        <w:rPr>
          <w:rFonts w:cs="Arial"/>
          <w:color w:val="000000"/>
        </w:rPr>
        <w:t xml:space="preserve"> Verkäufe (T-Shirts, CDs, Poster, Postkarten, Plakate, Mäppchen, Taschen, Hauskataloge usw.), Anzeigenwerbung (z.</w:t>
      </w:r>
      <w:r w:rsidR="009602D1">
        <w:rPr>
          <w:rFonts w:cs="Arial"/>
          <w:color w:val="000000"/>
        </w:rPr>
        <w:t xml:space="preserve"> </w:t>
      </w:r>
      <w:r w:rsidRPr="00D34B44">
        <w:rPr>
          <w:rFonts w:cs="Arial"/>
          <w:color w:val="000000"/>
        </w:rPr>
        <w:t>B. Philharmoniker) oder Vermietung von Instrumenten bei der Stuttgarter Musikschule.</w:t>
      </w:r>
      <w:r w:rsidR="00C30E58">
        <w:rPr>
          <w:rFonts w:cs="Arial"/>
          <w:color w:val="000000"/>
        </w:rPr>
        <w:t xml:space="preserve"> </w:t>
      </w:r>
      <w:r w:rsidR="00A21FD5" w:rsidRPr="00A21FD5">
        <w:rPr>
          <w:rFonts w:cs="Arial"/>
          <w:szCs w:val="22"/>
        </w:rPr>
        <w:t>Hinzu kommt die besondere Beachtung der Steuerthematik im Bereich der Anlagen</w:t>
      </w:r>
      <w:r w:rsidR="00A21FD5" w:rsidRPr="00260B2B">
        <w:rPr>
          <w:rFonts w:cs="Arial"/>
          <w:szCs w:val="22"/>
        </w:rPr>
        <w:t>buchhaltung (bei investiven Vorgängen) sowie bei der Berechnung und Festsetzung von Gebühren und Entgelten.</w:t>
      </w:r>
    </w:p>
    <w:p w:rsidR="003D7B0B" w:rsidRPr="00260B2B" w:rsidRDefault="003D7B0B" w:rsidP="00165C0D">
      <w:pPr>
        <w:pStyle w:val="berschrift2"/>
        <w:rPr>
          <w:rFonts w:cs="Arial"/>
        </w:rPr>
      </w:pPr>
      <w:r w:rsidRPr="00260B2B">
        <w:rPr>
          <w:rFonts w:cs="Arial"/>
        </w:rPr>
        <w:t>3.2</w:t>
      </w:r>
      <w:r w:rsidRPr="00260B2B">
        <w:rPr>
          <w:rFonts w:cs="Arial"/>
        </w:rPr>
        <w:tab/>
        <w:t>Bisherige Aufgabenwahrnehmung</w:t>
      </w:r>
    </w:p>
    <w:p w:rsidR="00C30E58" w:rsidRDefault="00C30E58" w:rsidP="00C30E58">
      <w:pPr>
        <w:jc w:val="both"/>
      </w:pPr>
    </w:p>
    <w:p w:rsidR="00C30E58" w:rsidRDefault="00C30E58" w:rsidP="00C30E58">
      <w:pPr>
        <w:jc w:val="both"/>
      </w:pPr>
      <w:r>
        <w:t>Diese zusätzlichen Auf</w:t>
      </w:r>
      <w:r w:rsidRPr="00C55D1E">
        <w:t xml:space="preserve">gaben </w:t>
      </w:r>
      <w:r>
        <w:t xml:space="preserve">im Bereich Finanzen und Controlling wurden bislang von der </w:t>
      </w:r>
      <w:r w:rsidRPr="00260B2B">
        <w:rPr>
          <w:rFonts w:cs="Arial"/>
        </w:rPr>
        <w:t xml:space="preserve">Sachgebietsleitung und </w:t>
      </w:r>
      <w:r>
        <w:rPr>
          <w:rFonts w:cs="Arial"/>
        </w:rPr>
        <w:t xml:space="preserve">den </w:t>
      </w:r>
      <w:r w:rsidRPr="00260B2B">
        <w:rPr>
          <w:rFonts w:cs="Arial"/>
        </w:rPr>
        <w:t>Sachbearbeiter</w:t>
      </w:r>
      <w:r w:rsidR="009602D1">
        <w:rPr>
          <w:rFonts w:cs="Arial"/>
        </w:rPr>
        <w:t>/-</w:t>
      </w:r>
      <w:r w:rsidRPr="00260B2B">
        <w:rPr>
          <w:rFonts w:cs="Arial"/>
        </w:rPr>
        <w:t>innen</w:t>
      </w:r>
      <w:r w:rsidRPr="00C30E58">
        <w:t xml:space="preserve"> </w:t>
      </w:r>
      <w:r w:rsidRPr="00C55D1E">
        <w:t xml:space="preserve">bearbeitet. </w:t>
      </w:r>
      <w:r>
        <w:t xml:space="preserve">Für die erhebliche Arbeitsvermehrung </w:t>
      </w:r>
      <w:r w:rsidRPr="00C55D1E">
        <w:t xml:space="preserve">ist </w:t>
      </w:r>
      <w:r>
        <w:t>die personelle Ausstattung diesbezüglich nicht auskömmlich.</w:t>
      </w:r>
    </w:p>
    <w:p w:rsidR="003D7B0B" w:rsidRPr="00D34B44" w:rsidRDefault="006E0575" w:rsidP="00884D6C">
      <w:pPr>
        <w:pStyle w:val="berschrift2"/>
        <w:rPr>
          <w:rFonts w:cs="Arial"/>
        </w:rPr>
      </w:pPr>
      <w:r w:rsidRPr="00D34B44">
        <w:rPr>
          <w:rFonts w:cs="Arial"/>
        </w:rPr>
        <w:t>3.3</w:t>
      </w:r>
      <w:r w:rsidR="003D7B0B" w:rsidRPr="00D34B44">
        <w:rPr>
          <w:rFonts w:cs="Arial"/>
        </w:rPr>
        <w:tab/>
        <w:t>Auswirkungen bei Ablehnung der Stellenschaffungen</w:t>
      </w:r>
    </w:p>
    <w:p w:rsidR="003D7B0B" w:rsidRPr="00D34B44" w:rsidRDefault="003D7B0B" w:rsidP="00884D6C">
      <w:pPr>
        <w:rPr>
          <w:rFonts w:cs="Arial"/>
        </w:rPr>
      </w:pPr>
    </w:p>
    <w:p w:rsidR="003D7B0B" w:rsidRPr="00D34B44" w:rsidRDefault="00D34B44" w:rsidP="00884D6C">
      <w:pPr>
        <w:rPr>
          <w:rFonts w:cs="Arial"/>
        </w:rPr>
      </w:pPr>
      <w:r w:rsidRPr="00D34B44">
        <w:rPr>
          <w:rFonts w:cs="Arial"/>
        </w:rPr>
        <w:t xml:space="preserve">Eine </w:t>
      </w:r>
      <w:r w:rsidR="004B2F13">
        <w:rPr>
          <w:rFonts w:cs="Arial"/>
        </w:rPr>
        <w:t xml:space="preserve">Gewährleistung rechtlicher Vorgaben </w:t>
      </w:r>
      <w:r w:rsidRPr="00D34B44">
        <w:rPr>
          <w:rFonts w:cs="Arial"/>
        </w:rPr>
        <w:t xml:space="preserve">kann nicht </w:t>
      </w:r>
      <w:r w:rsidR="004B2F13" w:rsidRPr="00D34B44">
        <w:rPr>
          <w:rFonts w:cs="Arial"/>
        </w:rPr>
        <w:t>aufrechterhalten</w:t>
      </w:r>
      <w:r w:rsidRPr="00D34B44">
        <w:rPr>
          <w:rFonts w:cs="Arial"/>
        </w:rPr>
        <w:t xml:space="preserve"> werden. Dadurch erg</w:t>
      </w:r>
      <w:r w:rsidR="004B2F13">
        <w:rPr>
          <w:rFonts w:cs="Arial"/>
        </w:rPr>
        <w:t xml:space="preserve">eben </w:t>
      </w:r>
      <w:r w:rsidRPr="00D34B44">
        <w:rPr>
          <w:rFonts w:cs="Arial"/>
        </w:rPr>
        <w:t xml:space="preserve">sich </w:t>
      </w:r>
      <w:r w:rsidR="004B2F13">
        <w:rPr>
          <w:rFonts w:cs="Arial"/>
        </w:rPr>
        <w:t xml:space="preserve">steuerrechtliche </w:t>
      </w:r>
      <w:r w:rsidRPr="00D34B44">
        <w:rPr>
          <w:rFonts w:cs="Arial"/>
        </w:rPr>
        <w:t>G</w:t>
      </w:r>
      <w:r w:rsidR="004B2F13">
        <w:rPr>
          <w:rFonts w:cs="Arial"/>
        </w:rPr>
        <w:t>efahren</w:t>
      </w:r>
      <w:r w:rsidRPr="00D34B44">
        <w:rPr>
          <w:rFonts w:cs="Arial"/>
        </w:rPr>
        <w:t>.</w:t>
      </w:r>
      <w:r w:rsidR="00E37011">
        <w:rPr>
          <w:rFonts w:cs="Arial"/>
        </w:rPr>
        <w:t xml:space="preserve"> Des </w:t>
      </w:r>
      <w:r w:rsidR="003E2EC6">
        <w:rPr>
          <w:rFonts w:cs="Arial"/>
        </w:rPr>
        <w:t>Weiteren</w:t>
      </w:r>
      <w:r w:rsidR="00E37011">
        <w:rPr>
          <w:rFonts w:cs="Arial"/>
        </w:rPr>
        <w:t xml:space="preserve"> ist die Arbeitsquantität und -qualität dauerhaft nicht gesichert.</w:t>
      </w:r>
    </w:p>
    <w:p w:rsidR="003D7B0B" w:rsidRPr="00D34B44" w:rsidRDefault="00884D6C" w:rsidP="00884D6C">
      <w:pPr>
        <w:pStyle w:val="berschrift1"/>
        <w:rPr>
          <w:rFonts w:cs="Arial"/>
        </w:rPr>
      </w:pPr>
      <w:r w:rsidRPr="00D34B44">
        <w:rPr>
          <w:rFonts w:cs="Arial"/>
        </w:rPr>
        <w:t>4</w:t>
      </w:r>
      <w:r w:rsidRPr="00D34B44">
        <w:rPr>
          <w:rFonts w:cs="Arial"/>
        </w:rPr>
        <w:tab/>
      </w:r>
      <w:r w:rsidR="003D7B0B" w:rsidRPr="00D34B44">
        <w:rPr>
          <w:rFonts w:cs="Arial"/>
        </w:rPr>
        <w:t>Stellenvermerke</w:t>
      </w:r>
    </w:p>
    <w:p w:rsidR="003D7B0B" w:rsidRPr="00D34B44" w:rsidRDefault="003D7B0B" w:rsidP="00884D6C">
      <w:pPr>
        <w:rPr>
          <w:rFonts w:cs="Arial"/>
        </w:rPr>
      </w:pPr>
    </w:p>
    <w:p w:rsidR="00DE362D" w:rsidRPr="00D34B44" w:rsidRDefault="00D34B44" w:rsidP="00884D6C">
      <w:pPr>
        <w:rPr>
          <w:rFonts w:cs="Arial"/>
        </w:rPr>
      </w:pPr>
      <w:r w:rsidRPr="00D34B44">
        <w:rPr>
          <w:rFonts w:cs="Arial"/>
        </w:rPr>
        <w:t>keine</w:t>
      </w:r>
    </w:p>
    <w:sectPr w:rsidR="00DE362D" w:rsidRPr="00D34B4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C4" w:rsidRDefault="00BE38C4">
      <w:r>
        <w:separator/>
      </w:r>
    </w:p>
  </w:endnote>
  <w:endnote w:type="continuationSeparator" w:id="0">
    <w:p w:rsidR="00BE38C4" w:rsidRDefault="00BE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C4" w:rsidRDefault="00BE38C4">
      <w:r>
        <w:separator/>
      </w:r>
    </w:p>
  </w:footnote>
  <w:footnote w:type="continuationSeparator" w:id="0">
    <w:p w:rsidR="00BE38C4" w:rsidRDefault="00BE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84D8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45B74EE"/>
    <w:multiLevelType w:val="hybridMultilevel"/>
    <w:tmpl w:val="65328F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05A58"/>
    <w:multiLevelType w:val="hybridMultilevel"/>
    <w:tmpl w:val="7E48F620"/>
    <w:lvl w:ilvl="0" w:tplc="02C8F4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C4"/>
    <w:rsid w:val="00026253"/>
    <w:rsid w:val="00055758"/>
    <w:rsid w:val="00061F0B"/>
    <w:rsid w:val="00075D50"/>
    <w:rsid w:val="000A1146"/>
    <w:rsid w:val="000A33D4"/>
    <w:rsid w:val="001034AF"/>
    <w:rsid w:val="0011000E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4758"/>
    <w:rsid w:val="001A5F9B"/>
    <w:rsid w:val="001F5B28"/>
    <w:rsid w:val="001F7237"/>
    <w:rsid w:val="00246DDE"/>
    <w:rsid w:val="002552B4"/>
    <w:rsid w:val="00260B2B"/>
    <w:rsid w:val="002924CB"/>
    <w:rsid w:val="002A20D1"/>
    <w:rsid w:val="002A4DE3"/>
    <w:rsid w:val="002B5955"/>
    <w:rsid w:val="002F625C"/>
    <w:rsid w:val="0030686C"/>
    <w:rsid w:val="00377B10"/>
    <w:rsid w:val="00380937"/>
    <w:rsid w:val="00397717"/>
    <w:rsid w:val="003D7B0B"/>
    <w:rsid w:val="003E0F4B"/>
    <w:rsid w:val="003E2EC6"/>
    <w:rsid w:val="003F0FAA"/>
    <w:rsid w:val="003F317A"/>
    <w:rsid w:val="00470135"/>
    <w:rsid w:val="0047606A"/>
    <w:rsid w:val="004908B5"/>
    <w:rsid w:val="0049121B"/>
    <w:rsid w:val="004A1688"/>
    <w:rsid w:val="004A5136"/>
    <w:rsid w:val="004B2F13"/>
    <w:rsid w:val="004B6796"/>
    <w:rsid w:val="004D2FF3"/>
    <w:rsid w:val="005A0A9D"/>
    <w:rsid w:val="005A56AA"/>
    <w:rsid w:val="005E19C6"/>
    <w:rsid w:val="005F5B3D"/>
    <w:rsid w:val="00606F80"/>
    <w:rsid w:val="006145BE"/>
    <w:rsid w:val="00622CC7"/>
    <w:rsid w:val="006363B6"/>
    <w:rsid w:val="0066776B"/>
    <w:rsid w:val="006A406B"/>
    <w:rsid w:val="006B5CE6"/>
    <w:rsid w:val="006B6D50"/>
    <w:rsid w:val="006E0575"/>
    <w:rsid w:val="0072799A"/>
    <w:rsid w:val="00734827"/>
    <w:rsid w:val="00754659"/>
    <w:rsid w:val="00760845"/>
    <w:rsid w:val="007E3B79"/>
    <w:rsid w:val="007E5AE1"/>
    <w:rsid w:val="008066EE"/>
    <w:rsid w:val="00817BB6"/>
    <w:rsid w:val="00884D6C"/>
    <w:rsid w:val="00884D83"/>
    <w:rsid w:val="00920F00"/>
    <w:rsid w:val="009373F6"/>
    <w:rsid w:val="00946276"/>
    <w:rsid w:val="009602D1"/>
    <w:rsid w:val="0096038F"/>
    <w:rsid w:val="00974DFD"/>
    <w:rsid w:val="00976588"/>
    <w:rsid w:val="009945E4"/>
    <w:rsid w:val="009D2344"/>
    <w:rsid w:val="009F3DD7"/>
    <w:rsid w:val="00A06F1E"/>
    <w:rsid w:val="00A21FD5"/>
    <w:rsid w:val="00A27CA7"/>
    <w:rsid w:val="00A45B30"/>
    <w:rsid w:val="00A71D0A"/>
    <w:rsid w:val="00A77F1E"/>
    <w:rsid w:val="00A847C4"/>
    <w:rsid w:val="00A909AA"/>
    <w:rsid w:val="00A938CB"/>
    <w:rsid w:val="00AA1C93"/>
    <w:rsid w:val="00AB389D"/>
    <w:rsid w:val="00AC2D50"/>
    <w:rsid w:val="00AE7B02"/>
    <w:rsid w:val="00AF0DEA"/>
    <w:rsid w:val="00AF25E0"/>
    <w:rsid w:val="00B04290"/>
    <w:rsid w:val="00B14DB9"/>
    <w:rsid w:val="00B23F53"/>
    <w:rsid w:val="00B80DEF"/>
    <w:rsid w:val="00B86BB5"/>
    <w:rsid w:val="00B91903"/>
    <w:rsid w:val="00BC4669"/>
    <w:rsid w:val="00BE38C4"/>
    <w:rsid w:val="00BF7D99"/>
    <w:rsid w:val="00C16EF1"/>
    <w:rsid w:val="00C30E58"/>
    <w:rsid w:val="00C448D3"/>
    <w:rsid w:val="00CF62E5"/>
    <w:rsid w:val="00D34B44"/>
    <w:rsid w:val="00D66D3A"/>
    <w:rsid w:val="00D743D4"/>
    <w:rsid w:val="00D87C4C"/>
    <w:rsid w:val="00DB3D6C"/>
    <w:rsid w:val="00DE362D"/>
    <w:rsid w:val="00E014B6"/>
    <w:rsid w:val="00E1162F"/>
    <w:rsid w:val="00E11D5F"/>
    <w:rsid w:val="00E20E1F"/>
    <w:rsid w:val="00E37011"/>
    <w:rsid w:val="00E42F96"/>
    <w:rsid w:val="00E7118F"/>
    <w:rsid w:val="00E9543A"/>
    <w:rsid w:val="00F272AD"/>
    <w:rsid w:val="00F27657"/>
    <w:rsid w:val="00F342DC"/>
    <w:rsid w:val="00F56F93"/>
    <w:rsid w:val="00F63041"/>
    <w:rsid w:val="00F649B9"/>
    <w:rsid w:val="00F65767"/>
    <w:rsid w:val="00F750E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A5C8F"/>
  <w15:docId w15:val="{B8BBE119-96A1-4BAB-99B5-02716705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4A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3F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884D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8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1k038\AppData\Local\Temp\notes65C8FE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Köstler, Karin</dc:creator>
  <cp:lastModifiedBy>Baumann, Gerhard</cp:lastModifiedBy>
  <cp:revision>7</cp:revision>
  <cp:lastPrinted>2023-09-26T14:49:00Z</cp:lastPrinted>
  <dcterms:created xsi:type="dcterms:W3CDTF">2023-01-23T06:28:00Z</dcterms:created>
  <dcterms:modified xsi:type="dcterms:W3CDTF">2023-09-26T14:49:00Z</dcterms:modified>
</cp:coreProperties>
</file>