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82B63">
        <w:t>40</w:t>
      </w:r>
      <w:bookmarkStart w:id="0" w:name="_GoBack"/>
      <w:bookmarkEnd w:id="0"/>
      <w:r w:rsidRPr="006E0575">
        <w:t xml:space="preserve"> zur GRDrs</w:t>
      </w:r>
      <w:r w:rsidR="002F37E1">
        <w:t>.</w:t>
      </w:r>
      <w:r w:rsidRPr="006E0575">
        <w:t xml:space="preserve"> </w:t>
      </w:r>
      <w:r w:rsidR="002F37E1">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010E4">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7010E4" w:rsidP="0030686C">
            <w:pPr>
              <w:rPr>
                <w:sz w:val="20"/>
              </w:rPr>
            </w:pPr>
            <w:r>
              <w:rPr>
                <w:sz w:val="20"/>
              </w:rPr>
              <w:t>30</w:t>
            </w:r>
          </w:p>
          <w:p w:rsidR="0011112B" w:rsidRDefault="0011112B" w:rsidP="0030686C">
            <w:pPr>
              <w:rPr>
                <w:sz w:val="20"/>
              </w:rPr>
            </w:pPr>
          </w:p>
          <w:p w:rsidR="005F5B3D" w:rsidRPr="006E0575" w:rsidRDefault="002F37E1" w:rsidP="0030686C">
            <w:pPr>
              <w:rPr>
                <w:sz w:val="20"/>
              </w:rPr>
            </w:pPr>
            <w:r>
              <w:rPr>
                <w:rFonts w:ascii="Helv" w:hAnsi="Helv" w:cs="Helv"/>
                <w:color w:val="000000"/>
                <w:sz w:val="20"/>
                <w:szCs w:val="20"/>
              </w:rPr>
              <w:t>3020 6100</w:t>
            </w:r>
          </w:p>
        </w:tc>
        <w:tc>
          <w:tcPr>
            <w:tcW w:w="1701" w:type="dxa"/>
          </w:tcPr>
          <w:p w:rsidR="005F5B3D" w:rsidRDefault="005F5B3D" w:rsidP="0030686C">
            <w:pPr>
              <w:rPr>
                <w:sz w:val="20"/>
              </w:rPr>
            </w:pPr>
          </w:p>
          <w:p w:rsidR="007010E4" w:rsidRPr="006E0575" w:rsidRDefault="0001298D" w:rsidP="0030686C">
            <w:pPr>
              <w:rPr>
                <w:sz w:val="20"/>
              </w:rPr>
            </w:pPr>
            <w:r>
              <w:rPr>
                <w:sz w:val="20"/>
              </w:rPr>
              <w:t>Rechtsamt</w:t>
            </w:r>
          </w:p>
        </w:tc>
        <w:tc>
          <w:tcPr>
            <w:tcW w:w="851" w:type="dxa"/>
          </w:tcPr>
          <w:p w:rsidR="005F5B3D" w:rsidRDefault="005F5B3D" w:rsidP="0030686C">
            <w:pPr>
              <w:rPr>
                <w:sz w:val="20"/>
              </w:rPr>
            </w:pPr>
          </w:p>
          <w:p w:rsidR="007010E4" w:rsidRPr="006E0575" w:rsidRDefault="007010E4" w:rsidP="0030686C">
            <w:pPr>
              <w:rPr>
                <w:sz w:val="20"/>
              </w:rPr>
            </w:pPr>
            <w:r>
              <w:rPr>
                <w:sz w:val="20"/>
              </w:rPr>
              <w:t>A 15</w:t>
            </w:r>
          </w:p>
        </w:tc>
        <w:tc>
          <w:tcPr>
            <w:tcW w:w="1701" w:type="dxa"/>
          </w:tcPr>
          <w:p w:rsidR="007010E4" w:rsidRDefault="007010E4" w:rsidP="0030686C">
            <w:pPr>
              <w:rPr>
                <w:sz w:val="20"/>
              </w:rPr>
            </w:pPr>
          </w:p>
          <w:p w:rsidR="005F5B3D" w:rsidRPr="006E0575" w:rsidRDefault="007010E4" w:rsidP="0030686C">
            <w:pPr>
              <w:rPr>
                <w:sz w:val="20"/>
              </w:rPr>
            </w:pPr>
            <w:r>
              <w:rPr>
                <w:sz w:val="20"/>
              </w:rPr>
              <w:t>Jurist/</w:t>
            </w:r>
            <w:r w:rsidR="00AC2CD2">
              <w:rPr>
                <w:sz w:val="20"/>
              </w:rPr>
              <w:t>-</w:t>
            </w:r>
            <w:r>
              <w:rPr>
                <w:sz w:val="20"/>
              </w:rPr>
              <w:t>in</w:t>
            </w:r>
          </w:p>
        </w:tc>
        <w:tc>
          <w:tcPr>
            <w:tcW w:w="851" w:type="dxa"/>
            <w:shd w:val="pct12" w:color="auto" w:fill="FFFFFF"/>
          </w:tcPr>
          <w:p w:rsidR="005F5B3D" w:rsidRDefault="005F5B3D" w:rsidP="0030686C">
            <w:pPr>
              <w:rPr>
                <w:sz w:val="20"/>
              </w:rPr>
            </w:pPr>
          </w:p>
          <w:p w:rsidR="005F5B3D" w:rsidRPr="006E0575" w:rsidRDefault="007010E4" w:rsidP="0030686C">
            <w:pPr>
              <w:rPr>
                <w:sz w:val="20"/>
              </w:rPr>
            </w:pPr>
            <w:r>
              <w:rPr>
                <w:sz w:val="20"/>
              </w:rPr>
              <w:t>1,0</w:t>
            </w:r>
          </w:p>
        </w:tc>
        <w:tc>
          <w:tcPr>
            <w:tcW w:w="1134" w:type="dxa"/>
          </w:tcPr>
          <w:p w:rsidR="005F5B3D" w:rsidRDefault="005F5B3D" w:rsidP="0030686C">
            <w:pPr>
              <w:rPr>
                <w:sz w:val="20"/>
              </w:rPr>
            </w:pPr>
          </w:p>
          <w:p w:rsidR="007010E4" w:rsidRPr="006E0575" w:rsidRDefault="007010E4" w:rsidP="0030686C">
            <w:pPr>
              <w:rPr>
                <w:sz w:val="20"/>
              </w:rPr>
            </w:pPr>
            <w:r>
              <w:rPr>
                <w:sz w:val="20"/>
              </w:rPr>
              <w:t>-</w:t>
            </w:r>
          </w:p>
        </w:tc>
        <w:tc>
          <w:tcPr>
            <w:tcW w:w="1588" w:type="dxa"/>
          </w:tcPr>
          <w:p w:rsidR="005F5B3D" w:rsidRDefault="005F5B3D" w:rsidP="0030686C">
            <w:pPr>
              <w:rPr>
                <w:sz w:val="20"/>
              </w:rPr>
            </w:pPr>
          </w:p>
          <w:p w:rsidR="005F5B3D" w:rsidRPr="006E0575" w:rsidRDefault="002F37E1" w:rsidP="0030686C">
            <w:pPr>
              <w:rPr>
                <w:sz w:val="20"/>
              </w:rPr>
            </w:pPr>
            <w:r>
              <w:rPr>
                <w:sz w:val="20"/>
              </w:rPr>
              <w:t>161.400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AC2CD2" w:rsidP="00884D6C">
      <w:r>
        <w:t>Der</w:t>
      </w:r>
      <w:r w:rsidR="007010E4">
        <w:t xml:space="preserve"> Schaffung </w:t>
      </w:r>
      <w:r w:rsidR="00D07E90">
        <w:t>von 1,0</w:t>
      </w:r>
      <w:r w:rsidR="007010E4">
        <w:t xml:space="preserve"> Stelle in</w:t>
      </w:r>
      <w:r>
        <w:t xml:space="preserve"> Bes.</w:t>
      </w:r>
      <w:r w:rsidR="002F37E1">
        <w:t>-</w:t>
      </w:r>
      <w:r>
        <w:t>Gr.</w:t>
      </w:r>
      <w:r w:rsidR="007010E4">
        <w:t xml:space="preserve"> A 15 für die Rechtsberatung der Stadtverwaltung und die Vertretung d</w:t>
      </w:r>
      <w:r w:rsidR="0001298D">
        <w:t>er Landeshauptstadt vor Gericht wird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A86A28" w:rsidRPr="0001298D" w:rsidRDefault="0001298D" w:rsidP="00884D6C">
      <w:r>
        <w:t>Es konnte eine Arbeit</w:t>
      </w:r>
      <w:r w:rsidR="00485D63">
        <w:t>svermehrung im Umfang</w:t>
      </w:r>
      <w:r>
        <w:t xml:space="preserve"> </w:t>
      </w:r>
      <w:r w:rsidR="00485D63">
        <w:t xml:space="preserve">1,0 Stelle </w:t>
      </w:r>
      <w:r>
        <w:t>nachgewiesen werden</w:t>
      </w:r>
      <w:r w:rsidR="007010E4">
        <w: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Pr="005B58A1" w:rsidRDefault="005B58A1" w:rsidP="00884D6C">
      <w:pPr>
        <w:rPr>
          <w:u w:val="single"/>
        </w:rPr>
      </w:pPr>
      <w:r w:rsidRPr="005B58A1">
        <w:rPr>
          <w:u w:val="single"/>
        </w:rPr>
        <w:t>Arbeitsvermehrung:</w:t>
      </w:r>
    </w:p>
    <w:p w:rsidR="00CB667A" w:rsidRDefault="00CB667A" w:rsidP="00884D6C"/>
    <w:p w:rsidR="00760E35" w:rsidRDefault="009C64A5" w:rsidP="00760E35">
      <w:r>
        <w:t xml:space="preserve">Der Bedarf an Rechtsberatung in der Stadtverwaltung hat </w:t>
      </w:r>
      <w:r w:rsidR="00DC7598">
        <w:t xml:space="preserve">in verschiedenen Bereichen </w:t>
      </w:r>
      <w:r>
        <w:t xml:space="preserve">zugenommen. </w:t>
      </w:r>
      <w:r w:rsidR="00DC7598">
        <w:t xml:space="preserve">So haben sich beispielsweise die Fallzahlen bei </w:t>
      </w:r>
      <w:r>
        <w:t>Widersprüche</w:t>
      </w:r>
      <w:r w:rsidR="00DC7598">
        <w:t>n</w:t>
      </w:r>
      <w:r>
        <w:t xml:space="preserve"> und Gerichtsverfahren im Zusammenhang mit der Umsetzung des bestehenden Rechtsanspruchs auf einen Kinderbetreuungsplatz</w:t>
      </w:r>
      <w:r w:rsidR="00DC7598">
        <w:t xml:space="preserve"> erhöht. </w:t>
      </w:r>
      <w:r w:rsidR="00DC1CB7">
        <w:t>Ebenso sind zunehmende Fallzahlen im Bereich des Arbeits- und Dienstrechts zu verzeichnen</w:t>
      </w:r>
      <w:r w:rsidR="00760E35">
        <w:t>, begründet u. a. durch den Personalzuwachs der vergangenen Jahre.</w:t>
      </w:r>
      <w:r w:rsidR="00DC1CB7">
        <w:t xml:space="preserve"> Außerdem</w:t>
      </w:r>
      <w:r w:rsidR="00211322">
        <w:t xml:space="preserve"> müssen mehr</w:t>
      </w:r>
      <w:r w:rsidR="00DC7598">
        <w:t xml:space="preserve"> </w:t>
      </w:r>
      <w:r w:rsidR="00DC7598" w:rsidRPr="00211322">
        <w:t xml:space="preserve">Strafanträge </w:t>
      </w:r>
      <w:r w:rsidR="00DC7598">
        <w:t xml:space="preserve">wegen Straftaten zum Nachteil der Landeshauptstadt Stuttgart und ihrer Mitarbeitenden </w:t>
      </w:r>
      <w:r w:rsidR="00211322">
        <w:t>gestellt und bearbeitet werden.</w:t>
      </w:r>
      <w:r w:rsidR="00DC1CB7">
        <w:t xml:space="preserve"> </w:t>
      </w:r>
      <w:r w:rsidR="00211322">
        <w:t xml:space="preserve">Komplexe Themenstellungen in Projekten und Maßnahmen verschiedenster Art erfordern, ggf. neben externer Beratung, </w:t>
      </w:r>
      <w:r w:rsidR="00DC1CB7">
        <w:t xml:space="preserve">weitere Kapazitäten für </w:t>
      </w:r>
      <w:r w:rsidR="00211322">
        <w:t>die kompetente Begleitung und Unterstützung durch das Rechtsamt</w:t>
      </w:r>
      <w:r w:rsidR="00760E35">
        <w:t>. Hinzu kommen die Anforderungen zur Umsetzung und Optimierung der Digitalisierung der Kommunikation im Gerichtswesen.</w:t>
      </w:r>
    </w:p>
    <w:p w:rsidR="00760E35" w:rsidRDefault="00760E35" w:rsidP="00760E35"/>
    <w:p w:rsidR="009A1D15" w:rsidRPr="006E0575" w:rsidRDefault="00760E35" w:rsidP="00760E35">
      <w:r>
        <w:t xml:space="preserve"> </w:t>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Default="005B58A1" w:rsidP="00884D6C">
      <w:r>
        <w:t>Die zusätzlichen Fälle haben zum einen zu Arbeitsrückständen g</w:t>
      </w:r>
      <w:r w:rsidR="00485D63">
        <w:t>eführt, zum anderen resultierte</w:t>
      </w:r>
      <w:r>
        <w:t xml:space="preserve"> daraus bei Unaufschiebbarkeit eine vermehrte Beauftragung externer Rechtsanwälte.</w:t>
      </w:r>
      <w:r w:rsidR="00A86A28">
        <w:t xml:space="preserve"> </w:t>
      </w:r>
    </w:p>
    <w:p w:rsidR="003D7B0B" w:rsidRDefault="006E0575" w:rsidP="00884D6C">
      <w:pPr>
        <w:pStyle w:val="berschrift2"/>
      </w:pPr>
      <w:r>
        <w:t>3.3</w:t>
      </w:r>
      <w:r w:rsidR="003D7B0B">
        <w:tab/>
        <w:t>Auswirkungen bei Ablehnung der Stellenschaffungen</w:t>
      </w:r>
    </w:p>
    <w:p w:rsidR="00C54126" w:rsidRDefault="00C54126" w:rsidP="00884D6C"/>
    <w:p w:rsidR="003D7B0B" w:rsidRDefault="00C54126" w:rsidP="00884D6C">
      <w:r>
        <w:t>Bei Verzicht auf die</w:t>
      </w:r>
      <w:r w:rsidR="00485D63">
        <w:t xml:space="preserve"> Stellenschaffung wird</w:t>
      </w:r>
      <w:r>
        <w:t xml:space="preserve"> ein steigender Aufwand für externe Rechtsberatung anfallen. Zudem ist davon auszugehen, dass durch verzögerte oder unterlassene rechtliche Beratung Ansprüche der Stadt nicht effektiv verfolgt werden, was zu Einnahmeausfällen und Ausgabensteigerungen führen kann.</w:t>
      </w:r>
    </w:p>
    <w:p w:rsidR="003D7B0B" w:rsidRDefault="00884D6C" w:rsidP="00884D6C">
      <w:pPr>
        <w:pStyle w:val="berschrift1"/>
      </w:pPr>
      <w:r>
        <w:t>4</w:t>
      </w:r>
      <w:r>
        <w:tab/>
      </w:r>
      <w:r w:rsidR="003D7B0B">
        <w:t>Stellenvermerke</w:t>
      </w:r>
    </w:p>
    <w:p w:rsidR="003D7B0B" w:rsidRDefault="003D7B0B" w:rsidP="00884D6C"/>
    <w:p w:rsidR="00DE362D" w:rsidRDefault="005B58A1"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E4" w:rsidRDefault="007010E4">
      <w:r>
        <w:separator/>
      </w:r>
    </w:p>
  </w:endnote>
  <w:endnote w:type="continuationSeparator" w:id="0">
    <w:p w:rsidR="007010E4" w:rsidRDefault="0070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E4" w:rsidRDefault="007010E4">
      <w:r>
        <w:separator/>
      </w:r>
    </w:p>
  </w:footnote>
  <w:footnote w:type="continuationSeparator" w:id="0">
    <w:p w:rsidR="007010E4" w:rsidRDefault="0070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82B6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E4"/>
    <w:rsid w:val="0001298D"/>
    <w:rsid w:val="00017195"/>
    <w:rsid w:val="00026253"/>
    <w:rsid w:val="00055758"/>
    <w:rsid w:val="00061F0B"/>
    <w:rsid w:val="00097E2F"/>
    <w:rsid w:val="000A1146"/>
    <w:rsid w:val="001034AF"/>
    <w:rsid w:val="0011112B"/>
    <w:rsid w:val="00114BB7"/>
    <w:rsid w:val="0014415D"/>
    <w:rsid w:val="00151488"/>
    <w:rsid w:val="00163034"/>
    <w:rsid w:val="00164678"/>
    <w:rsid w:val="00165C0D"/>
    <w:rsid w:val="00181857"/>
    <w:rsid w:val="00184EDC"/>
    <w:rsid w:val="00194770"/>
    <w:rsid w:val="001A5F9B"/>
    <w:rsid w:val="001F7237"/>
    <w:rsid w:val="00211322"/>
    <w:rsid w:val="002924CB"/>
    <w:rsid w:val="002A20D1"/>
    <w:rsid w:val="002A4DE3"/>
    <w:rsid w:val="002B5955"/>
    <w:rsid w:val="002F37E1"/>
    <w:rsid w:val="0030686C"/>
    <w:rsid w:val="00380937"/>
    <w:rsid w:val="00397717"/>
    <w:rsid w:val="003D7B0B"/>
    <w:rsid w:val="003E0F4B"/>
    <w:rsid w:val="003F0FAA"/>
    <w:rsid w:val="004273C2"/>
    <w:rsid w:val="00457984"/>
    <w:rsid w:val="00470135"/>
    <w:rsid w:val="0047606A"/>
    <w:rsid w:val="00485D63"/>
    <w:rsid w:val="004908B5"/>
    <w:rsid w:val="0049121B"/>
    <w:rsid w:val="004A1688"/>
    <w:rsid w:val="004B6796"/>
    <w:rsid w:val="005A0A9D"/>
    <w:rsid w:val="005A56AA"/>
    <w:rsid w:val="005B58A1"/>
    <w:rsid w:val="005E19C6"/>
    <w:rsid w:val="005F5B3D"/>
    <w:rsid w:val="00606F80"/>
    <w:rsid w:val="00622CC7"/>
    <w:rsid w:val="00674B71"/>
    <w:rsid w:val="006A406B"/>
    <w:rsid w:val="006B6D50"/>
    <w:rsid w:val="006E0575"/>
    <w:rsid w:val="007010E4"/>
    <w:rsid w:val="0072799A"/>
    <w:rsid w:val="00754659"/>
    <w:rsid w:val="00760E35"/>
    <w:rsid w:val="007E3B79"/>
    <w:rsid w:val="008066EE"/>
    <w:rsid w:val="00817BB6"/>
    <w:rsid w:val="00870C31"/>
    <w:rsid w:val="00884D6C"/>
    <w:rsid w:val="00920F00"/>
    <w:rsid w:val="009373F6"/>
    <w:rsid w:val="00945141"/>
    <w:rsid w:val="00946276"/>
    <w:rsid w:val="0096038F"/>
    <w:rsid w:val="00976588"/>
    <w:rsid w:val="009A1D15"/>
    <w:rsid w:val="009C64A5"/>
    <w:rsid w:val="00A20793"/>
    <w:rsid w:val="00A27CA7"/>
    <w:rsid w:val="00A45B30"/>
    <w:rsid w:val="00A71D0A"/>
    <w:rsid w:val="00A77F1E"/>
    <w:rsid w:val="00A847C4"/>
    <w:rsid w:val="00A86A28"/>
    <w:rsid w:val="00AB389D"/>
    <w:rsid w:val="00AC2CD2"/>
    <w:rsid w:val="00AE7B02"/>
    <w:rsid w:val="00AF0DEA"/>
    <w:rsid w:val="00AF25E0"/>
    <w:rsid w:val="00B04290"/>
    <w:rsid w:val="00B80DEF"/>
    <w:rsid w:val="00B86BB5"/>
    <w:rsid w:val="00B91903"/>
    <w:rsid w:val="00BC4669"/>
    <w:rsid w:val="00C16EF1"/>
    <w:rsid w:val="00C448D3"/>
    <w:rsid w:val="00C54126"/>
    <w:rsid w:val="00CB667A"/>
    <w:rsid w:val="00CF62E5"/>
    <w:rsid w:val="00D07E90"/>
    <w:rsid w:val="00D66D3A"/>
    <w:rsid w:val="00D743D4"/>
    <w:rsid w:val="00D932E4"/>
    <w:rsid w:val="00DB3D6C"/>
    <w:rsid w:val="00DC1CB7"/>
    <w:rsid w:val="00DC7598"/>
    <w:rsid w:val="00DE362D"/>
    <w:rsid w:val="00E014B6"/>
    <w:rsid w:val="00E1162F"/>
    <w:rsid w:val="00E11D5F"/>
    <w:rsid w:val="00E20E1F"/>
    <w:rsid w:val="00E42F96"/>
    <w:rsid w:val="00E7118F"/>
    <w:rsid w:val="00EE0B03"/>
    <w:rsid w:val="00F27657"/>
    <w:rsid w:val="00F342DC"/>
    <w:rsid w:val="00F56F93"/>
    <w:rsid w:val="00F63041"/>
    <w:rsid w:val="00F76452"/>
    <w:rsid w:val="00F82B6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ED93F"/>
  <w15:docId w15:val="{7C3C190F-B3E9-4B4B-B36F-9267B8AB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945141"/>
    <w:rPr>
      <w:rFonts w:ascii="Segoe UI" w:hAnsi="Segoe UI" w:cs="Segoe UI"/>
      <w:sz w:val="18"/>
      <w:szCs w:val="18"/>
    </w:rPr>
  </w:style>
  <w:style w:type="character" w:customStyle="1" w:styleId="SprechblasentextZchn">
    <w:name w:val="Sprechblasentext Zchn"/>
    <w:basedOn w:val="Absatz-Standardschriftart"/>
    <w:link w:val="Sprechblasentext"/>
    <w:semiHidden/>
    <w:rsid w:val="0094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0a049\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262</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Fürniß, Martin</dc:creator>
  <cp:lastModifiedBy>Baumann, Gerhard</cp:lastModifiedBy>
  <cp:revision>7</cp:revision>
  <cp:lastPrinted>2023-09-26T14:46:00Z</cp:lastPrinted>
  <dcterms:created xsi:type="dcterms:W3CDTF">2023-09-12T14:12:00Z</dcterms:created>
  <dcterms:modified xsi:type="dcterms:W3CDTF">2023-09-26T14:46:00Z</dcterms:modified>
</cp:coreProperties>
</file>