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B11D3">
        <w:rPr>
          <w:szCs w:val="24"/>
        </w:rPr>
        <w:t>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7B11D3">
        <w:rPr>
          <w:szCs w:val="24"/>
        </w:rPr>
        <w:t>835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7B11D3" w:rsidRDefault="007B11D3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D1001A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660 0814 </w:t>
            </w:r>
          </w:p>
          <w:p w:rsidR="005F5B3D" w:rsidRPr="006E0575" w:rsidRDefault="00CF22AF" w:rsidP="001A2F6F">
            <w:pPr>
              <w:rPr>
                <w:sz w:val="20"/>
              </w:rPr>
            </w:pPr>
            <w:r w:rsidRPr="00CF22AF">
              <w:rPr>
                <w:sz w:val="20"/>
              </w:rPr>
              <w:t>66086140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D1001A" w:rsidP="006E057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  <w:p w:rsidR="001A2F6F" w:rsidRDefault="001A2F6F" w:rsidP="006E0575">
            <w:pPr>
              <w:rPr>
                <w:sz w:val="20"/>
              </w:rPr>
            </w:pPr>
          </w:p>
          <w:p w:rsidR="001A2F6F" w:rsidRPr="006E0575" w:rsidRDefault="001A2F6F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3B5411" w:rsidP="00613FAB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613F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11 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D1001A" w:rsidP="006E0575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1A2F6F">
              <w:rPr>
                <w:sz w:val="20"/>
              </w:rPr>
              <w:t>/-in</w:t>
            </w:r>
          </w:p>
          <w:p w:rsidR="00D1001A" w:rsidRDefault="00D1001A" w:rsidP="006E0575">
            <w:pPr>
              <w:rPr>
                <w:sz w:val="20"/>
              </w:rPr>
            </w:pPr>
          </w:p>
          <w:p w:rsidR="00D1001A" w:rsidRPr="006E0575" w:rsidRDefault="00D1001A" w:rsidP="006E0575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D1001A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1001A" w:rsidRDefault="00D1001A" w:rsidP="008A6853">
            <w:pPr>
              <w:rPr>
                <w:sz w:val="20"/>
              </w:rPr>
            </w:pPr>
          </w:p>
          <w:p w:rsidR="00D1001A" w:rsidRPr="006E0575" w:rsidRDefault="00D1001A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0C6850" w:rsidP="007B1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7B11D3" w:rsidP="007B1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73.500</w:t>
            </w:r>
          </w:p>
        </w:tc>
      </w:tr>
      <w:tr w:rsidR="001A2F6F" w:rsidRPr="006E0575" w:rsidTr="005F5B3D">
        <w:tc>
          <w:tcPr>
            <w:tcW w:w="1814" w:type="dxa"/>
          </w:tcPr>
          <w:p w:rsidR="001A2F6F" w:rsidRDefault="001A2F6F" w:rsidP="001A2F6F">
            <w:pPr>
              <w:rPr>
                <w:sz w:val="20"/>
              </w:rPr>
            </w:pPr>
          </w:p>
          <w:p w:rsidR="001A2F6F" w:rsidRDefault="001A2F6F" w:rsidP="001A2F6F">
            <w:pPr>
              <w:rPr>
                <w:sz w:val="20"/>
              </w:rPr>
            </w:pPr>
            <w:r>
              <w:rPr>
                <w:sz w:val="20"/>
              </w:rPr>
              <w:t xml:space="preserve">660 0814 </w:t>
            </w:r>
          </w:p>
          <w:p w:rsidR="001A2F6F" w:rsidRDefault="00CF22AF" w:rsidP="006E0575">
            <w:pPr>
              <w:rPr>
                <w:sz w:val="20"/>
              </w:rPr>
            </w:pPr>
            <w:r w:rsidRPr="00CF22AF">
              <w:rPr>
                <w:sz w:val="20"/>
              </w:rPr>
              <w:t>66086140</w:t>
            </w:r>
          </w:p>
        </w:tc>
        <w:tc>
          <w:tcPr>
            <w:tcW w:w="1701" w:type="dxa"/>
          </w:tcPr>
          <w:p w:rsidR="001A2F6F" w:rsidRDefault="001A2F6F" w:rsidP="006E0575">
            <w:pPr>
              <w:rPr>
                <w:sz w:val="20"/>
              </w:rPr>
            </w:pPr>
          </w:p>
          <w:p w:rsidR="001A2F6F" w:rsidRDefault="001A2F6F" w:rsidP="006E057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  <w:p w:rsidR="007B11D3" w:rsidRDefault="007B11D3" w:rsidP="006E0575">
            <w:pPr>
              <w:rPr>
                <w:sz w:val="20"/>
              </w:rPr>
            </w:pPr>
          </w:p>
          <w:p w:rsidR="007B11D3" w:rsidRDefault="007B11D3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1A2F6F" w:rsidRDefault="001A2F6F" w:rsidP="008A6853">
            <w:pPr>
              <w:rPr>
                <w:sz w:val="20"/>
              </w:rPr>
            </w:pPr>
          </w:p>
          <w:p w:rsidR="001A2F6F" w:rsidRDefault="001A2F6F" w:rsidP="008A6853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613FAB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1A2F6F" w:rsidRDefault="001A2F6F" w:rsidP="006E0575">
            <w:pPr>
              <w:rPr>
                <w:sz w:val="20"/>
              </w:rPr>
            </w:pPr>
          </w:p>
          <w:p w:rsidR="007B11D3" w:rsidRDefault="001A2F6F" w:rsidP="006E0575">
            <w:pPr>
              <w:rPr>
                <w:sz w:val="20"/>
              </w:rPr>
            </w:pPr>
            <w:r>
              <w:rPr>
                <w:sz w:val="20"/>
              </w:rPr>
              <w:t>Bau</w:t>
            </w:r>
            <w:r w:rsidR="007B11D3">
              <w:rPr>
                <w:sz w:val="20"/>
              </w:rPr>
              <w:t>-</w:t>
            </w:r>
          </w:p>
          <w:p w:rsidR="001A2F6F" w:rsidRDefault="001A2F6F" w:rsidP="006E05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techniker</w:t>
            </w:r>
            <w:proofErr w:type="spellEnd"/>
            <w:r>
              <w:rPr>
                <w:sz w:val="20"/>
              </w:rPr>
              <w:t>/-innen</w:t>
            </w:r>
          </w:p>
        </w:tc>
        <w:tc>
          <w:tcPr>
            <w:tcW w:w="737" w:type="dxa"/>
            <w:shd w:val="pct12" w:color="auto" w:fill="FFFFFF"/>
          </w:tcPr>
          <w:p w:rsidR="001A2F6F" w:rsidRDefault="001A2F6F" w:rsidP="008A6853">
            <w:pPr>
              <w:rPr>
                <w:sz w:val="20"/>
              </w:rPr>
            </w:pPr>
          </w:p>
          <w:p w:rsidR="001A2F6F" w:rsidRDefault="001A2F6F" w:rsidP="008A6853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1A2F6F" w:rsidRDefault="001A2F6F" w:rsidP="008A6853">
            <w:pPr>
              <w:rPr>
                <w:sz w:val="20"/>
              </w:rPr>
            </w:pPr>
          </w:p>
          <w:p w:rsidR="000C6850" w:rsidRDefault="000C6850" w:rsidP="000C6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1A2F6F" w:rsidRDefault="001A2F6F" w:rsidP="008A6853">
            <w:pPr>
              <w:rPr>
                <w:sz w:val="20"/>
              </w:rPr>
            </w:pPr>
          </w:p>
          <w:p w:rsidR="007B11D3" w:rsidRDefault="007B11D3" w:rsidP="007B11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7B11D3" w:rsidRDefault="003B5411" w:rsidP="00884D6C">
      <w:r>
        <w:t>Beantragt werden</w:t>
      </w:r>
      <w:r w:rsidR="00D1001A">
        <w:t xml:space="preserve"> 1,0 </w:t>
      </w:r>
      <w:r w:rsidR="00613FAB">
        <w:t>Stelle für eine/-n Ingenieur/-in EG 11</w:t>
      </w:r>
      <w:r w:rsidR="00D1001A">
        <w:t xml:space="preserve"> sowie 2,0 Technikerstellen </w:t>
      </w:r>
      <w:r w:rsidR="00C01C15">
        <w:t xml:space="preserve">EG 8 </w:t>
      </w:r>
      <w:r w:rsidR="00D1001A">
        <w:t>für die Bauabteilung Mitte/Nord</w:t>
      </w:r>
      <w:r w:rsidR="001A2F6F">
        <w:t xml:space="preserve"> beim Tiefbauamt</w:t>
      </w:r>
      <w:r w:rsidR="00D1001A">
        <w:t xml:space="preserve"> </w:t>
      </w:r>
      <w:r w:rsidR="00C01C15">
        <w:t>für A</w:t>
      </w:r>
      <w:r w:rsidR="00D83274">
        <w:t>ufgaben im Fachbereich Gewässer</w:t>
      </w:r>
      <w:r w:rsidR="00C01C15" w:rsidRPr="00C01C15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184FFC" w:rsidRDefault="00D83274" w:rsidP="00884D6C">
      <w:pPr>
        <w:rPr>
          <w:noProof/>
          <w:szCs w:val="22"/>
        </w:rPr>
      </w:pPr>
      <w:r>
        <w:rPr>
          <w:noProof/>
          <w:szCs w:val="22"/>
        </w:rPr>
        <w:t>Der</w:t>
      </w:r>
      <w:r w:rsidR="00D03C63">
        <w:rPr>
          <w:noProof/>
          <w:szCs w:val="22"/>
        </w:rPr>
        <w:t xml:space="preserve"> Betrieb und die</w:t>
      </w:r>
      <w:r>
        <w:rPr>
          <w:noProof/>
          <w:szCs w:val="22"/>
        </w:rPr>
        <w:t xml:space="preserve"> daraus resultierende</w:t>
      </w:r>
      <w:r w:rsidR="00D03C63">
        <w:rPr>
          <w:noProof/>
          <w:szCs w:val="22"/>
        </w:rPr>
        <w:t xml:space="preserve"> Verantwortung für die</w:t>
      </w:r>
      <w:r w:rsidR="007072A4">
        <w:rPr>
          <w:noProof/>
          <w:szCs w:val="22"/>
        </w:rPr>
        <w:t xml:space="preserve"> Parkseen </w:t>
      </w:r>
      <w:r>
        <w:rPr>
          <w:noProof/>
          <w:szCs w:val="22"/>
        </w:rPr>
        <w:t xml:space="preserve">sind auf die Stadt </w:t>
      </w:r>
      <w:r w:rsidR="007B11D3">
        <w:rPr>
          <w:noProof/>
          <w:szCs w:val="22"/>
        </w:rPr>
        <w:t xml:space="preserve">Stuttgart </w:t>
      </w:r>
      <w:bookmarkStart w:id="0" w:name="_GoBack"/>
      <w:bookmarkEnd w:id="0"/>
      <w:r>
        <w:rPr>
          <w:noProof/>
          <w:szCs w:val="22"/>
        </w:rPr>
        <w:t>übergegangen</w:t>
      </w:r>
      <w:r w:rsidR="007072A4">
        <w:rPr>
          <w:noProof/>
          <w:szCs w:val="22"/>
        </w:rPr>
        <w:t xml:space="preserve">, was mit einer erheblichen Aufgabenvermehrung verbunden ist.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F51494" w:rsidRPr="00DC30CC" w:rsidRDefault="00D03C63" w:rsidP="00ED1D16">
      <w:pPr>
        <w:rPr>
          <w:noProof/>
          <w:szCs w:val="22"/>
        </w:rPr>
      </w:pPr>
      <w:r>
        <w:t xml:space="preserve">Nach der Stilllegung der Wasserwerke Gallenklinge haben die </w:t>
      </w:r>
      <w:proofErr w:type="spellStart"/>
      <w:r>
        <w:t>Parkseen</w:t>
      </w:r>
      <w:proofErr w:type="spellEnd"/>
      <w:r>
        <w:t xml:space="preserve"> </w:t>
      </w:r>
      <w:r w:rsidR="006D7A0F">
        <w:t>ihre</w:t>
      </w:r>
      <w:r>
        <w:t xml:space="preserve"> Bedeu</w:t>
      </w:r>
      <w:r w:rsidR="007E3D6D">
        <w:t xml:space="preserve">tung </w:t>
      </w:r>
      <w:r w:rsidR="003B5411">
        <w:t>für die Wasserversorgung Stuttgarts</w:t>
      </w:r>
      <w:r w:rsidR="006D7A0F">
        <w:t xml:space="preserve"> verloren</w:t>
      </w:r>
      <w:r w:rsidR="003B5411">
        <w:t xml:space="preserve">. </w:t>
      </w:r>
      <w:r w:rsidR="006D7A0F">
        <w:t>Die</w:t>
      </w:r>
      <w:r w:rsidR="00C82099">
        <w:t xml:space="preserve"> </w:t>
      </w:r>
      <w:r w:rsidR="006D7A0F">
        <w:t>EnBW hat die</w:t>
      </w:r>
      <w:r w:rsidR="00EA5B66">
        <w:t xml:space="preserve"> vertraglich festgelegte</w:t>
      </w:r>
      <w:r w:rsidR="006D7A0F">
        <w:t xml:space="preserve"> Pflege und Betriebsführung der Seen a</w:t>
      </w:r>
      <w:r w:rsidR="00C82099">
        <w:t>ls Rechtsnachfolger</w:t>
      </w:r>
      <w:r w:rsidR="006D7A0F">
        <w:t>in</w:t>
      </w:r>
      <w:r w:rsidR="00C82099">
        <w:t xml:space="preserve"> der TWS bzw. NWS </w:t>
      </w:r>
      <w:r w:rsidR="006D7A0F">
        <w:t>gekündigt, da der</w:t>
      </w:r>
      <w:r w:rsidR="00C82099">
        <w:t xml:space="preserve"> Vertragszweck entfallen ist. </w:t>
      </w:r>
      <w:r w:rsidR="006D7A0F">
        <w:t>D</w:t>
      </w:r>
      <w:r w:rsidR="00C82099">
        <w:t xml:space="preserve">as Land </w:t>
      </w:r>
      <w:r w:rsidR="006D7A0F">
        <w:t>ist</w:t>
      </w:r>
      <w:r w:rsidR="00F51494">
        <w:t xml:space="preserve"> Eigentümer</w:t>
      </w:r>
      <w:r w:rsidR="006D7A0F">
        <w:t xml:space="preserve"> der </w:t>
      </w:r>
      <w:proofErr w:type="spellStart"/>
      <w:r w:rsidR="00F51494">
        <w:t>Parkseen</w:t>
      </w:r>
      <w:proofErr w:type="spellEnd"/>
      <w:r w:rsidR="006D7A0F">
        <w:t>, die</w:t>
      </w:r>
      <w:r w:rsidR="00F51494">
        <w:t xml:space="preserve"> als Gewässer II. Ordnung eingestuft</w:t>
      </w:r>
      <w:r w:rsidR="006D7A0F" w:rsidRPr="006D7A0F">
        <w:t xml:space="preserve"> </w:t>
      </w:r>
      <w:r w:rsidR="006D7A0F">
        <w:t>sind</w:t>
      </w:r>
      <w:r w:rsidR="00F51494">
        <w:t xml:space="preserve">. </w:t>
      </w:r>
      <w:r w:rsidR="00DC30CC">
        <w:rPr>
          <w:noProof/>
          <w:szCs w:val="22"/>
        </w:rPr>
        <w:t>Aus den gesetzlichen Grundlagen (Wasserhaus</w:t>
      </w:r>
      <w:r w:rsidR="00DC30CC">
        <w:rPr>
          <w:noProof/>
          <w:szCs w:val="22"/>
        </w:rPr>
        <w:softHyphen/>
        <w:t>halts</w:t>
      </w:r>
      <w:r w:rsidR="00DC30CC">
        <w:rPr>
          <w:noProof/>
          <w:szCs w:val="22"/>
        </w:rPr>
        <w:softHyphen/>
      </w:r>
      <w:r w:rsidR="00DC30CC">
        <w:rPr>
          <w:noProof/>
          <w:szCs w:val="22"/>
        </w:rPr>
        <w:softHyphen/>
        <w:t xml:space="preserve">gesetz, Wassergesetz BW, Wasserrahmenrichtlinie) resultieren die Pflichten der Stadt für die öffentlichen Gewässer II. Ordnung. </w:t>
      </w:r>
      <w:r w:rsidR="00DC30CC">
        <w:t>Die</w:t>
      </w:r>
      <w:r w:rsidR="00F51494">
        <w:t xml:space="preserve"> Unterhaltungslast </w:t>
      </w:r>
      <w:r w:rsidR="00DC30CC">
        <w:t xml:space="preserve">geht </w:t>
      </w:r>
      <w:r w:rsidR="00EA5B66">
        <w:t>so</w:t>
      </w:r>
      <w:r w:rsidR="00DC30CC">
        <w:t xml:space="preserve">mit </w:t>
      </w:r>
      <w:r w:rsidR="00F51494">
        <w:t xml:space="preserve">auf die Stadt über. </w:t>
      </w:r>
      <w:r w:rsidR="00EA5B66">
        <w:t>Für die Seen sind beispielsweise auch ein/-e Betriebsbeauftragte/-r und für jeden See ein/-e Stauwärter/-in zu benennen.</w:t>
      </w:r>
    </w:p>
    <w:p w:rsidR="00C82099" w:rsidRDefault="00C82099" w:rsidP="00884D6C"/>
    <w:p w:rsidR="003D7B0B" w:rsidRPr="00165C0D" w:rsidRDefault="003D7B0B" w:rsidP="00EA5B66">
      <w:pPr>
        <w:pStyle w:val="berschrift2"/>
        <w:ind w:left="0" w:firstLine="0"/>
      </w:pPr>
      <w:r w:rsidRPr="00165C0D">
        <w:lastRenderedPageBreak/>
        <w:t>3.2</w:t>
      </w:r>
      <w:r w:rsidRPr="00165C0D">
        <w:tab/>
        <w:t>Bisherige Aufgabenwahrnehmung</w:t>
      </w:r>
      <w:r w:rsidR="00DC30CC">
        <w:br/>
      </w:r>
    </w:p>
    <w:p w:rsidR="003D7B0B" w:rsidRDefault="00ED1D16" w:rsidP="00DC30CC">
      <w:r>
        <w:t>Da</w:t>
      </w:r>
      <w:r w:rsidR="00D03C63">
        <w:t xml:space="preserve"> die Unterhaltung der </w:t>
      </w:r>
      <w:proofErr w:type="spellStart"/>
      <w:r w:rsidR="00D03C63">
        <w:t>Parkseen</w:t>
      </w:r>
      <w:proofErr w:type="spellEnd"/>
      <w:r w:rsidR="00D03C63">
        <w:t xml:space="preserve"> </w:t>
      </w:r>
      <w:r w:rsidR="00DC30CC">
        <w:t>durch die</w:t>
      </w:r>
      <w:r w:rsidR="00D03C63">
        <w:t xml:space="preserve"> EnBW </w:t>
      </w:r>
      <w:r w:rsidR="00DC30CC">
        <w:t>erfolgte</w:t>
      </w:r>
      <w:r>
        <w:t xml:space="preserve">, war die Stadt bislang </w:t>
      </w:r>
      <w:r w:rsidR="00D03C63">
        <w:t>nicht mit der Aufgabenwahrnehmung betraut.</w:t>
      </w:r>
      <w:r>
        <w:t xml:space="preserve"> Bis Ende 2017 konnte</w:t>
      </w:r>
      <w:r w:rsidR="00DC30CC">
        <w:t>n die Arbeiten in der Pflege und Betriebsführung durch die EnBW noch sichergestellt werden.</w:t>
      </w:r>
      <w:r w:rsidR="00DC30CC">
        <w:br/>
      </w:r>
      <w:r>
        <w:t xml:space="preserve">Die </w:t>
      </w:r>
      <w:r w:rsidR="00DC30CC">
        <w:t xml:space="preserve">beim Tiefbauamt </w:t>
      </w:r>
      <w:r>
        <w:t>vorhandenen Personalstellen reichen nicht aus, um die</w:t>
      </w:r>
      <w:r w:rsidR="00DC30CC">
        <w:t>se Aufgaben künftig wahrzunehmen. Verschiede</w:t>
      </w:r>
      <w:r>
        <w:rPr>
          <w:noProof/>
          <w:szCs w:val="22"/>
        </w:rPr>
        <w:t>ne Arbeiten dürfen</w:t>
      </w:r>
      <w:r w:rsidR="00DC30CC">
        <w:rPr>
          <w:noProof/>
          <w:szCs w:val="22"/>
        </w:rPr>
        <w:t xml:space="preserve"> dabei</w:t>
      </w:r>
      <w:r>
        <w:rPr>
          <w:noProof/>
          <w:szCs w:val="22"/>
        </w:rPr>
        <w:t xml:space="preserve"> aus arbeitssicherheits</w:t>
      </w:r>
      <w:r w:rsidR="00DC30CC">
        <w:rPr>
          <w:noProof/>
          <w:szCs w:val="22"/>
        </w:rPr>
        <w:softHyphen/>
      </w:r>
      <w:r>
        <w:rPr>
          <w:noProof/>
          <w:szCs w:val="22"/>
        </w:rPr>
        <w:t>technischen Gründen nur von zwei Personen erledigt werden.</w:t>
      </w:r>
      <w:r w:rsidR="00DC30CC" w:rsidRPr="00DC30CC">
        <w:t xml:space="preserve"> </w:t>
      </w:r>
    </w:p>
    <w:p w:rsidR="007E3D6D" w:rsidRDefault="007E3D6D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184FFC" w:rsidRPr="00184FFC" w:rsidRDefault="00EA5B66" w:rsidP="00184FFC">
      <w:pPr>
        <w:rPr>
          <w:noProof/>
          <w:szCs w:val="22"/>
        </w:rPr>
      </w:pPr>
      <w:r>
        <w:t>D</w:t>
      </w:r>
      <w:r w:rsidR="005C77A5">
        <w:t xml:space="preserve">ie Seen </w:t>
      </w:r>
      <w:r>
        <w:t xml:space="preserve">könnten </w:t>
      </w:r>
      <w:r w:rsidR="005C77A5">
        <w:t xml:space="preserve">vom Tiefbauamt </w:t>
      </w:r>
      <w:r>
        <w:t xml:space="preserve">nicht ordnungsgemäß </w:t>
      </w:r>
      <w:r w:rsidR="005C77A5">
        <w:t>unterhalten werden</w:t>
      </w:r>
      <w:r>
        <w:t>, ohne dass andere Aufgaben vernachlässigt würden. Verkehrssicheru</w:t>
      </w:r>
      <w:r w:rsidR="009104C6">
        <w:t xml:space="preserve">ngs- und Unterhaltungspflichten könnte nicht ausreichend nachgekommen werden, das Schadensrisiko würde ansteigen.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9104C6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52" w:rsidRDefault="00394A52">
      <w:r>
        <w:separator/>
      </w:r>
    </w:p>
  </w:endnote>
  <w:endnote w:type="continuationSeparator" w:id="0">
    <w:p w:rsidR="00394A52" w:rsidRDefault="003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52" w:rsidRDefault="00394A52">
      <w:r>
        <w:separator/>
      </w:r>
    </w:p>
  </w:footnote>
  <w:footnote w:type="continuationSeparator" w:id="0">
    <w:p w:rsidR="00394A52" w:rsidRDefault="0039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EC" w:rsidRDefault="005A2AE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F553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F553D">
      <w:rPr>
        <w:rStyle w:val="Seitenzahl"/>
      </w:rPr>
      <w:fldChar w:fldCharType="separate"/>
    </w:r>
    <w:r w:rsidR="007B11D3">
      <w:rPr>
        <w:rStyle w:val="Seitenzahl"/>
        <w:noProof/>
      </w:rPr>
      <w:t>2</w:t>
    </w:r>
    <w:r w:rsidR="00BF553D">
      <w:rPr>
        <w:rStyle w:val="Seitenzahl"/>
      </w:rPr>
      <w:fldChar w:fldCharType="end"/>
    </w:r>
    <w:r>
      <w:rPr>
        <w:rStyle w:val="Seitenzahl"/>
      </w:rPr>
      <w:t xml:space="preserve"> -</w:t>
    </w:r>
  </w:p>
  <w:p w:rsidR="005A2AEC" w:rsidRDefault="005A2A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C6850"/>
    <w:rsid w:val="0011112B"/>
    <w:rsid w:val="0014415D"/>
    <w:rsid w:val="00163034"/>
    <w:rsid w:val="00165C0D"/>
    <w:rsid w:val="00181857"/>
    <w:rsid w:val="00184EDC"/>
    <w:rsid w:val="00184FFC"/>
    <w:rsid w:val="00194770"/>
    <w:rsid w:val="001A2F6F"/>
    <w:rsid w:val="001A5F9B"/>
    <w:rsid w:val="001F7237"/>
    <w:rsid w:val="002779E3"/>
    <w:rsid w:val="002924CB"/>
    <w:rsid w:val="002A20D1"/>
    <w:rsid w:val="002B5955"/>
    <w:rsid w:val="0033256F"/>
    <w:rsid w:val="00341F1E"/>
    <w:rsid w:val="00380937"/>
    <w:rsid w:val="00394A52"/>
    <w:rsid w:val="003B5411"/>
    <w:rsid w:val="003D7B0B"/>
    <w:rsid w:val="00470135"/>
    <w:rsid w:val="0047606A"/>
    <w:rsid w:val="004908B5"/>
    <w:rsid w:val="0049121B"/>
    <w:rsid w:val="00496C0E"/>
    <w:rsid w:val="004A1688"/>
    <w:rsid w:val="004B6796"/>
    <w:rsid w:val="005A0A9D"/>
    <w:rsid w:val="005A2AEC"/>
    <w:rsid w:val="005A56AA"/>
    <w:rsid w:val="005A5AAB"/>
    <w:rsid w:val="005C1AA9"/>
    <w:rsid w:val="005C77A5"/>
    <w:rsid w:val="005D4317"/>
    <w:rsid w:val="005E19C6"/>
    <w:rsid w:val="005F3BAA"/>
    <w:rsid w:val="005F5B3D"/>
    <w:rsid w:val="00606F80"/>
    <w:rsid w:val="00613FAB"/>
    <w:rsid w:val="006A7700"/>
    <w:rsid w:val="006B6D50"/>
    <w:rsid w:val="006D7A0F"/>
    <w:rsid w:val="006E0575"/>
    <w:rsid w:val="007072A4"/>
    <w:rsid w:val="00754659"/>
    <w:rsid w:val="007669F6"/>
    <w:rsid w:val="0079483C"/>
    <w:rsid w:val="007A29E4"/>
    <w:rsid w:val="007B11D3"/>
    <w:rsid w:val="007E3B79"/>
    <w:rsid w:val="007E3D6D"/>
    <w:rsid w:val="008066EE"/>
    <w:rsid w:val="00817BB6"/>
    <w:rsid w:val="00884D6C"/>
    <w:rsid w:val="008A6853"/>
    <w:rsid w:val="00906404"/>
    <w:rsid w:val="009104C6"/>
    <w:rsid w:val="00976588"/>
    <w:rsid w:val="009B010B"/>
    <w:rsid w:val="00A27CA7"/>
    <w:rsid w:val="00A71D0A"/>
    <w:rsid w:val="00A77F1E"/>
    <w:rsid w:val="00A94993"/>
    <w:rsid w:val="00AC66EF"/>
    <w:rsid w:val="00B04290"/>
    <w:rsid w:val="00B11187"/>
    <w:rsid w:val="00B80DEF"/>
    <w:rsid w:val="00BC4669"/>
    <w:rsid w:val="00BF2B95"/>
    <w:rsid w:val="00BF553D"/>
    <w:rsid w:val="00C01C15"/>
    <w:rsid w:val="00C01C66"/>
    <w:rsid w:val="00C16EF1"/>
    <w:rsid w:val="00C448D3"/>
    <w:rsid w:val="00C82099"/>
    <w:rsid w:val="00C94876"/>
    <w:rsid w:val="00CF22AF"/>
    <w:rsid w:val="00D03C63"/>
    <w:rsid w:val="00D1001A"/>
    <w:rsid w:val="00D461B9"/>
    <w:rsid w:val="00D83274"/>
    <w:rsid w:val="00DB10CB"/>
    <w:rsid w:val="00DB2832"/>
    <w:rsid w:val="00DB3D6C"/>
    <w:rsid w:val="00DC30CC"/>
    <w:rsid w:val="00DE2710"/>
    <w:rsid w:val="00E014B6"/>
    <w:rsid w:val="00E1162F"/>
    <w:rsid w:val="00E11D5F"/>
    <w:rsid w:val="00E20E1F"/>
    <w:rsid w:val="00E47ABE"/>
    <w:rsid w:val="00E7118F"/>
    <w:rsid w:val="00EA5B66"/>
    <w:rsid w:val="00ED1D16"/>
    <w:rsid w:val="00F27657"/>
    <w:rsid w:val="00F342DC"/>
    <w:rsid w:val="00F51494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C6689"/>
  <w15:docId w15:val="{D3E07A4A-B086-442E-83D7-597FE79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94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94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94993"/>
    <w:rPr>
      <w:sz w:val="16"/>
    </w:rPr>
  </w:style>
  <w:style w:type="paragraph" w:styleId="Kommentartext">
    <w:name w:val="annotation text"/>
    <w:basedOn w:val="Standard"/>
    <w:semiHidden/>
    <w:rsid w:val="00A94993"/>
    <w:rPr>
      <w:sz w:val="20"/>
    </w:rPr>
  </w:style>
  <w:style w:type="paragraph" w:styleId="Fuzeile">
    <w:name w:val="footer"/>
    <w:basedOn w:val="Standard"/>
    <w:rsid w:val="00A94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94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CB3073DB.dotm</Template>
  <TotalTime>0</TotalTime>
  <Pages>2</Pages>
  <Words>300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4</cp:revision>
  <cp:lastPrinted>2017-09-17T15:10:00Z</cp:lastPrinted>
  <dcterms:created xsi:type="dcterms:W3CDTF">2017-09-11T13:29:00Z</dcterms:created>
  <dcterms:modified xsi:type="dcterms:W3CDTF">2017-09-17T15:10:00Z</dcterms:modified>
</cp:coreProperties>
</file>