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1728D">
        <w:rPr>
          <w:szCs w:val="24"/>
        </w:rPr>
        <w:t>12</w:t>
      </w:r>
      <w:r w:rsidRPr="006E0575">
        <w:rPr>
          <w:szCs w:val="24"/>
        </w:rPr>
        <w:t xml:space="preserve"> zur GRDrs </w:t>
      </w:r>
      <w:r w:rsidR="0061728D">
        <w:rPr>
          <w:szCs w:val="24"/>
        </w:rPr>
        <w:t>835</w:t>
      </w:r>
      <w:r w:rsidR="00891246">
        <w:rPr>
          <w:szCs w:val="24"/>
        </w:rPr>
        <w:t>/201</w:t>
      </w:r>
      <w:r w:rsidR="00B42B9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3D7B0B" w:rsidRDefault="00FF2DC9" w:rsidP="00A34898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We</w:t>
      </w:r>
      <w:r w:rsidRPr="004920E9">
        <w:rPr>
          <w:b/>
          <w:sz w:val="36"/>
        </w:rPr>
        <w:t>g</w:t>
      </w:r>
      <w:r>
        <w:rPr>
          <w:b/>
          <w:sz w:val="36"/>
          <w:u w:val="single"/>
        </w:rPr>
        <w:t xml:space="preserve">fall </w:t>
      </w:r>
      <w:r w:rsidR="009F1B67">
        <w:rPr>
          <w:b/>
          <w:sz w:val="36"/>
          <w:u w:val="single"/>
        </w:rPr>
        <w:t>von</w:t>
      </w:r>
      <w:r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t>Stellen</w:t>
      </w:r>
      <w:r>
        <w:rPr>
          <w:b/>
          <w:sz w:val="36"/>
          <w:u w:val="single"/>
        </w:rPr>
        <w:t>vermerk</w:t>
      </w:r>
      <w:r w:rsidR="009F1B67">
        <w:rPr>
          <w:b/>
          <w:sz w:val="36"/>
          <w:u w:val="single"/>
        </w:rPr>
        <w:t>en</w:t>
      </w:r>
      <w:r w:rsidR="003D7B0B">
        <w:rPr>
          <w:b/>
          <w:sz w:val="36"/>
          <w:u w:val="single"/>
        </w:rPr>
        <w:t xml:space="preserve"> </w:t>
      </w:r>
      <w:r w:rsidR="00A34898">
        <w:rPr>
          <w:b/>
          <w:sz w:val="36"/>
          <w:u w:val="single"/>
        </w:rPr>
        <w:br/>
      </w:r>
      <w:r w:rsidR="000D2E9F">
        <w:rPr>
          <w:b/>
          <w:sz w:val="36"/>
          <w:u w:val="single"/>
        </w:rPr>
        <w:t>zum</w:t>
      </w:r>
      <w:r w:rsidR="00B76A76" w:rsidRPr="00B76A76">
        <w:rPr>
          <w:b/>
          <w:sz w:val="36"/>
          <w:u w:val="single"/>
        </w:rPr>
        <w:t xml:space="preserve"> </w:t>
      </w:r>
      <w:r w:rsidR="003D7B0B" w:rsidRPr="00B76A76">
        <w:rPr>
          <w:b/>
          <w:sz w:val="36"/>
          <w:u w:val="single"/>
        </w:rPr>
        <w:t>Stellenplan 20</w:t>
      </w:r>
      <w:r w:rsidR="00B76A76" w:rsidRPr="00B76A76">
        <w:rPr>
          <w:b/>
          <w:sz w:val="36"/>
          <w:szCs w:val="36"/>
          <w:u w:val="single"/>
        </w:rPr>
        <w:t>1</w:t>
      </w:r>
      <w:r w:rsidR="00B42B93">
        <w:rPr>
          <w:b/>
          <w:sz w:val="36"/>
          <w:szCs w:val="36"/>
          <w:u w:val="single"/>
        </w:rPr>
        <w:t>8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891246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Stellennummer</w:t>
            </w:r>
          </w:p>
          <w:p w:rsidR="00891246" w:rsidRPr="006E0575" w:rsidRDefault="009B0FBE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B42B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891246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BesGr.</w:t>
            </w:r>
          </w:p>
          <w:p w:rsidR="007B5FE2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oder</w:t>
            </w:r>
          </w:p>
          <w:p w:rsidR="007B5FE2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B5FE2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Anzahl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der</w:t>
            </w:r>
            <w:r w:rsidR="00891246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bisheriger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Stellenvermerk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891246" w:rsidRPr="006E0575" w:rsidRDefault="00B42B93" w:rsidP="00B42B9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91246">
              <w:rPr>
                <w:sz w:val="16"/>
                <w:szCs w:val="16"/>
              </w:rPr>
              <w:t>d</w:t>
            </w:r>
            <w:r w:rsidR="00891246" w:rsidRPr="006E0575">
              <w:rPr>
                <w:sz w:val="16"/>
                <w:szCs w:val="16"/>
              </w:rPr>
              <w:t>urchschnit</w:t>
            </w:r>
            <w:r w:rsidR="00891246"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kosten</w:t>
            </w:r>
            <w:r w:rsidR="00891246">
              <w:rPr>
                <w:sz w:val="16"/>
                <w:szCs w:val="16"/>
              </w:rPr>
              <w:t>wirksamer</w:t>
            </w:r>
            <w:r w:rsidR="00891246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891246" w:rsidRPr="006E0575">
              <w:rPr>
                <w:sz w:val="16"/>
                <w:szCs w:val="16"/>
              </w:rPr>
              <w:t>Auf</w:t>
            </w:r>
            <w:r w:rsidR="00891246"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t xml:space="preserve"> in €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9B334A" w:rsidRPr="009F1B67" w:rsidRDefault="009B334A" w:rsidP="009F1B67">
            <w:pPr>
              <w:jc w:val="both"/>
              <w:rPr>
                <w:sz w:val="20"/>
              </w:rPr>
            </w:pPr>
            <w:r w:rsidRPr="009F1B67">
              <w:rPr>
                <w:sz w:val="20"/>
              </w:rPr>
              <w:t>660 0313 040</w:t>
            </w:r>
          </w:p>
          <w:p w:rsidR="00746A71" w:rsidRDefault="00746A71" w:rsidP="009F1B67">
            <w:pPr>
              <w:jc w:val="both"/>
              <w:rPr>
                <w:sz w:val="20"/>
              </w:rPr>
            </w:pPr>
          </w:p>
          <w:p w:rsidR="00891246" w:rsidRPr="006E0575" w:rsidRDefault="00650E3A" w:rsidP="002812E4">
            <w:pPr>
              <w:rPr>
                <w:sz w:val="20"/>
              </w:rPr>
            </w:pPr>
            <w:r w:rsidRPr="00650E3A">
              <w:rPr>
                <w:sz w:val="20"/>
              </w:rPr>
              <w:t>66306110</w:t>
            </w:r>
          </w:p>
        </w:tc>
        <w:tc>
          <w:tcPr>
            <w:tcW w:w="1701" w:type="dxa"/>
          </w:tcPr>
          <w:p w:rsidR="00891246" w:rsidRDefault="00891246" w:rsidP="00B42B93">
            <w:pPr>
              <w:jc w:val="both"/>
              <w:rPr>
                <w:sz w:val="20"/>
              </w:rPr>
            </w:pPr>
          </w:p>
          <w:p w:rsidR="00891246" w:rsidRPr="006E0575" w:rsidRDefault="009B334A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Default="009B334A" w:rsidP="00B42B93">
            <w:pPr>
              <w:rPr>
                <w:sz w:val="20"/>
              </w:rPr>
            </w:pPr>
            <w:r>
              <w:rPr>
                <w:sz w:val="20"/>
              </w:rPr>
              <w:t>EG11</w:t>
            </w:r>
          </w:p>
          <w:p w:rsidR="009B334A" w:rsidRPr="006E0575" w:rsidRDefault="009B334A" w:rsidP="00B42B93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9B334A" w:rsidP="002812E4">
            <w:pPr>
              <w:rPr>
                <w:sz w:val="20"/>
              </w:rPr>
            </w:pPr>
            <w:r>
              <w:rPr>
                <w:sz w:val="20"/>
              </w:rPr>
              <w:t>Ingenieur/-in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9F1B67" w:rsidP="00B42B9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B334A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9B334A" w:rsidP="00B42B93">
            <w:pPr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891246" w:rsidRDefault="00891246" w:rsidP="00B42B93">
            <w:pPr>
              <w:rPr>
                <w:sz w:val="20"/>
              </w:rPr>
            </w:pPr>
          </w:p>
          <w:p w:rsidR="00891246" w:rsidRPr="006E0575" w:rsidRDefault="0061728D" w:rsidP="00617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9F1B67" w:rsidRPr="006E0575" w:rsidTr="00891246">
        <w:tc>
          <w:tcPr>
            <w:tcW w:w="1814" w:type="dxa"/>
          </w:tcPr>
          <w:p w:rsidR="009F1B67" w:rsidRDefault="009F1B67" w:rsidP="009F1B67">
            <w:pPr>
              <w:jc w:val="both"/>
              <w:rPr>
                <w:sz w:val="20"/>
              </w:rPr>
            </w:pPr>
          </w:p>
          <w:p w:rsidR="009F1B67" w:rsidRDefault="009F1B67" w:rsidP="009F1B67">
            <w:pPr>
              <w:jc w:val="both"/>
              <w:rPr>
                <w:sz w:val="20"/>
              </w:rPr>
            </w:pPr>
            <w:r w:rsidRPr="009F1B67">
              <w:rPr>
                <w:sz w:val="20"/>
              </w:rPr>
              <w:t>660 0313 050</w:t>
            </w:r>
          </w:p>
          <w:p w:rsidR="009F1B67" w:rsidRDefault="009F1B67" w:rsidP="009F1B67">
            <w:pPr>
              <w:jc w:val="both"/>
              <w:rPr>
                <w:sz w:val="20"/>
              </w:rPr>
            </w:pPr>
          </w:p>
          <w:p w:rsidR="009F1B67" w:rsidRDefault="00650E3A" w:rsidP="002812E4">
            <w:pPr>
              <w:rPr>
                <w:sz w:val="20"/>
              </w:rPr>
            </w:pPr>
            <w:r w:rsidRPr="00650E3A">
              <w:rPr>
                <w:sz w:val="20"/>
              </w:rPr>
              <w:t>66306110</w:t>
            </w:r>
          </w:p>
        </w:tc>
        <w:tc>
          <w:tcPr>
            <w:tcW w:w="1701" w:type="dxa"/>
          </w:tcPr>
          <w:p w:rsidR="009F1B67" w:rsidRDefault="009F1B67" w:rsidP="00B42B93">
            <w:pPr>
              <w:jc w:val="both"/>
              <w:rPr>
                <w:sz w:val="20"/>
              </w:rPr>
            </w:pPr>
          </w:p>
          <w:p w:rsidR="009F1B67" w:rsidRDefault="009F1B67" w:rsidP="00B42B93">
            <w:pPr>
              <w:jc w:val="both"/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9F1B67" w:rsidRDefault="009F1B67" w:rsidP="00B42B93">
            <w:pPr>
              <w:rPr>
                <w:sz w:val="20"/>
              </w:rPr>
            </w:pPr>
          </w:p>
          <w:p w:rsidR="009F1B67" w:rsidRDefault="009F1B67" w:rsidP="00B42B9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9F1B67" w:rsidRDefault="009F1B67" w:rsidP="002812E4">
            <w:pPr>
              <w:rPr>
                <w:sz w:val="20"/>
              </w:rPr>
            </w:pPr>
          </w:p>
          <w:p w:rsidR="009F1B67" w:rsidRDefault="009F1B67" w:rsidP="002812E4">
            <w:pPr>
              <w:rPr>
                <w:sz w:val="20"/>
              </w:rPr>
            </w:pPr>
            <w:r>
              <w:rPr>
                <w:sz w:val="20"/>
              </w:rPr>
              <w:t>Ingenieur/-in</w:t>
            </w:r>
          </w:p>
        </w:tc>
        <w:tc>
          <w:tcPr>
            <w:tcW w:w="737" w:type="dxa"/>
            <w:shd w:val="pct12" w:color="auto" w:fill="FFFFFF"/>
          </w:tcPr>
          <w:p w:rsidR="009F1B67" w:rsidRDefault="009F1B67" w:rsidP="00B42B93">
            <w:pPr>
              <w:rPr>
                <w:sz w:val="20"/>
              </w:rPr>
            </w:pPr>
          </w:p>
          <w:p w:rsidR="009F1B67" w:rsidRDefault="009F1B67" w:rsidP="00B42B9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9F1B67" w:rsidRDefault="009F1B67" w:rsidP="00B42B93">
            <w:pPr>
              <w:rPr>
                <w:sz w:val="20"/>
              </w:rPr>
            </w:pPr>
          </w:p>
          <w:p w:rsidR="009F1B67" w:rsidRDefault="009F1B67" w:rsidP="00B42B93">
            <w:pPr>
              <w:rPr>
                <w:sz w:val="20"/>
              </w:rPr>
            </w:pPr>
            <w:r>
              <w:rPr>
                <w:sz w:val="20"/>
              </w:rPr>
              <w:t>01/2018</w:t>
            </w:r>
          </w:p>
        </w:tc>
        <w:tc>
          <w:tcPr>
            <w:tcW w:w="1417" w:type="dxa"/>
          </w:tcPr>
          <w:p w:rsidR="009F1B67" w:rsidRDefault="009F1B67" w:rsidP="00B42B93">
            <w:pPr>
              <w:rPr>
                <w:sz w:val="20"/>
              </w:rPr>
            </w:pPr>
          </w:p>
          <w:p w:rsidR="0061728D" w:rsidRDefault="0061728D" w:rsidP="006172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  <w:bookmarkStart w:id="0" w:name="_GoBack"/>
            <w:bookmarkEnd w:id="0"/>
          </w:p>
        </w:tc>
      </w:tr>
    </w:tbl>
    <w:p w:rsidR="00694161" w:rsidRPr="00694161" w:rsidRDefault="00694161" w:rsidP="00694161">
      <w:pPr>
        <w:rPr>
          <w:noProof/>
        </w:rPr>
      </w:pPr>
    </w:p>
    <w:p w:rsidR="00694161" w:rsidRPr="00694161" w:rsidRDefault="00694161" w:rsidP="00694161"/>
    <w:p w:rsidR="003D7B0B" w:rsidRPr="00694161" w:rsidRDefault="00694161" w:rsidP="00694161">
      <w:pPr>
        <w:rPr>
          <w:b/>
          <w:u w:val="single"/>
        </w:rPr>
      </w:pPr>
      <w:r w:rsidRPr="00694161">
        <w:rPr>
          <w:b/>
          <w:u w:val="single"/>
        </w:rPr>
        <w:t>Be</w:t>
      </w:r>
      <w:r w:rsidRPr="007B5FE2">
        <w:rPr>
          <w:b/>
          <w:u w:val="single"/>
        </w:rPr>
        <w:t>g</w:t>
      </w:r>
      <w:r w:rsidRPr="00694161">
        <w:rPr>
          <w:b/>
          <w:u w:val="single"/>
        </w:rPr>
        <w:t>ründun</w:t>
      </w:r>
      <w:r w:rsidRPr="00B42B93">
        <w:rPr>
          <w:b/>
          <w:u w:val="single"/>
        </w:rPr>
        <w:t>g</w:t>
      </w:r>
      <w:r w:rsidRPr="00B42B93">
        <w:rPr>
          <w:b/>
        </w:rPr>
        <w:t>:</w:t>
      </w:r>
    </w:p>
    <w:p w:rsidR="003D7B0B" w:rsidRDefault="003D7B0B" w:rsidP="00694161"/>
    <w:p w:rsidR="0090723F" w:rsidRDefault="009B334A" w:rsidP="0090723F">
      <w:pPr>
        <w:rPr>
          <w:noProof/>
          <w:szCs w:val="22"/>
        </w:rPr>
      </w:pPr>
      <w:r>
        <w:rPr>
          <w:noProof/>
          <w:szCs w:val="22"/>
        </w:rPr>
        <w:t>Für die Umsetzung des vom Gemeinderat beschlossen Radförderprog</w:t>
      </w:r>
      <w:r w:rsidR="00CA79A9">
        <w:rPr>
          <w:noProof/>
          <w:szCs w:val="22"/>
        </w:rPr>
        <w:t>ramms wurde zum Stellenplan 2012</w:t>
      </w:r>
      <w:r>
        <w:rPr>
          <w:noProof/>
          <w:szCs w:val="22"/>
        </w:rPr>
        <w:t xml:space="preserve"> eine halbe Stelle in EG</w:t>
      </w:r>
      <w:r w:rsidR="00590909">
        <w:rPr>
          <w:noProof/>
          <w:szCs w:val="22"/>
        </w:rPr>
        <w:t xml:space="preserve"> </w:t>
      </w:r>
      <w:r>
        <w:rPr>
          <w:noProof/>
          <w:szCs w:val="22"/>
        </w:rPr>
        <w:t>11 und zum Stellenplan 201</w:t>
      </w:r>
      <w:r w:rsidR="00CA79A9">
        <w:rPr>
          <w:noProof/>
          <w:szCs w:val="22"/>
        </w:rPr>
        <w:t>4</w:t>
      </w:r>
      <w:r w:rsidR="00590909">
        <w:rPr>
          <w:noProof/>
          <w:szCs w:val="22"/>
        </w:rPr>
        <w:t xml:space="preserve"> eine halbe Stelle in EG 12</w:t>
      </w:r>
      <w:r w:rsidR="00F76973">
        <w:rPr>
          <w:noProof/>
          <w:szCs w:val="22"/>
        </w:rPr>
        <w:t xml:space="preserve"> geschaffen. Diese sind jeweils b</w:t>
      </w:r>
      <w:r>
        <w:rPr>
          <w:noProof/>
          <w:szCs w:val="22"/>
        </w:rPr>
        <w:t>efristet</w:t>
      </w:r>
      <w:r w:rsidR="00F76973">
        <w:rPr>
          <w:noProof/>
          <w:szCs w:val="22"/>
        </w:rPr>
        <w:t xml:space="preserve"> bis 31.12.2017</w:t>
      </w:r>
      <w:r>
        <w:rPr>
          <w:noProof/>
          <w:szCs w:val="22"/>
        </w:rPr>
        <w:t xml:space="preserve">. </w:t>
      </w:r>
      <w:r w:rsidR="00BE1D0B">
        <w:rPr>
          <w:noProof/>
          <w:szCs w:val="22"/>
        </w:rPr>
        <w:t xml:space="preserve">Zum Stellenplan 2016 wurde eine weitere Ingenieurstelle für die Umsetzung des Radförderprogramms unbefristet in </w:t>
      </w:r>
      <w:r w:rsidR="009F1B67">
        <w:rPr>
          <w:noProof/>
          <w:szCs w:val="22"/>
        </w:rPr>
        <w:t xml:space="preserve">Bes. Gr. </w:t>
      </w:r>
      <w:r w:rsidR="00BE1D0B">
        <w:rPr>
          <w:noProof/>
          <w:szCs w:val="22"/>
        </w:rPr>
        <w:t xml:space="preserve">A 12 geschaffen. </w:t>
      </w:r>
    </w:p>
    <w:p w:rsidR="0090723F" w:rsidRDefault="0090723F" w:rsidP="0090723F">
      <w:pPr>
        <w:rPr>
          <w:noProof/>
          <w:szCs w:val="22"/>
        </w:rPr>
      </w:pPr>
    </w:p>
    <w:p w:rsidR="009B334A" w:rsidRDefault="0090723F" w:rsidP="0090723F">
      <w:pPr>
        <w:rPr>
          <w:noProof/>
          <w:szCs w:val="22"/>
        </w:rPr>
      </w:pPr>
      <w:r>
        <w:rPr>
          <w:rFonts w:ascii="Helv" w:hAnsi="Helv" w:cs="Helv"/>
          <w:color w:val="000000"/>
          <w:szCs w:val="24"/>
        </w:rPr>
        <w:t>B</w:t>
      </w:r>
      <w:r w:rsidRPr="00480677">
        <w:rPr>
          <w:rFonts w:ascii="Helv" w:hAnsi="Helv" w:cs="Helv"/>
          <w:color w:val="000000"/>
          <w:szCs w:val="24"/>
        </w:rPr>
        <w:t>ei de</w:t>
      </w:r>
      <w:r>
        <w:rPr>
          <w:rFonts w:ascii="Helv" w:hAnsi="Helv" w:cs="Helv"/>
          <w:color w:val="000000"/>
          <w:szCs w:val="24"/>
        </w:rPr>
        <w:t>n</w:t>
      </w:r>
      <w:r w:rsidRPr="00480677">
        <w:rPr>
          <w:rFonts w:ascii="Helv" w:hAnsi="Helv" w:cs="Helv"/>
          <w:color w:val="000000"/>
          <w:szCs w:val="24"/>
        </w:rPr>
        <w:t xml:space="preserve"> zum Teil sehr kleinteiligen Lösungen</w:t>
      </w:r>
      <w:r>
        <w:rPr>
          <w:rFonts w:ascii="Helv" w:hAnsi="Helv" w:cs="Helv"/>
          <w:color w:val="000000"/>
          <w:szCs w:val="24"/>
        </w:rPr>
        <w:t xml:space="preserve"> müssen</w:t>
      </w:r>
      <w:r w:rsidRPr="00480677">
        <w:rPr>
          <w:rFonts w:ascii="Helv" w:hAnsi="Helv" w:cs="Helv"/>
          <w:color w:val="000000"/>
          <w:szCs w:val="24"/>
        </w:rPr>
        <w:t xml:space="preserve"> viele Varianten</w:t>
      </w:r>
      <w:r>
        <w:rPr>
          <w:rFonts w:ascii="Helv" w:hAnsi="Helv" w:cs="Helv"/>
          <w:color w:val="000000"/>
          <w:szCs w:val="24"/>
        </w:rPr>
        <w:t xml:space="preserve"> geprüft</w:t>
      </w:r>
      <w:r w:rsidRPr="00480677">
        <w:rPr>
          <w:rFonts w:ascii="Helv" w:hAnsi="Helv" w:cs="Helv"/>
          <w:color w:val="000000"/>
          <w:szCs w:val="24"/>
        </w:rPr>
        <w:t xml:space="preserve"> und Zu</w:t>
      </w:r>
      <w:r>
        <w:rPr>
          <w:rFonts w:ascii="Helv" w:hAnsi="Helv" w:cs="Helv"/>
          <w:color w:val="000000"/>
          <w:szCs w:val="24"/>
        </w:rPr>
        <w:softHyphen/>
        <w:t>-</w:t>
      </w:r>
      <w:r w:rsidRPr="00480677">
        <w:rPr>
          <w:rFonts w:ascii="Helv" w:hAnsi="Helv" w:cs="Helv"/>
          <w:color w:val="000000"/>
          <w:szCs w:val="24"/>
        </w:rPr>
        <w:t>satzuntersuchungen durchgeführt werden. Der Pe</w:t>
      </w:r>
      <w:r>
        <w:rPr>
          <w:rFonts w:ascii="Helv" w:hAnsi="Helv" w:cs="Helv"/>
          <w:color w:val="000000"/>
          <w:szCs w:val="24"/>
        </w:rPr>
        <w:t>rsonalaufwand ist dadurch höher</w:t>
      </w:r>
      <w:r w:rsidRPr="00480677">
        <w:rPr>
          <w:rFonts w:ascii="Helv" w:hAnsi="Helv" w:cs="Helv"/>
          <w:color w:val="000000"/>
          <w:szCs w:val="24"/>
        </w:rPr>
        <w:t xml:space="preserve"> als bei anderen Straßenbauvorhaben.</w:t>
      </w:r>
      <w:r>
        <w:rPr>
          <w:rFonts w:ascii="Helv" w:hAnsi="Helv" w:cs="Helv"/>
          <w:color w:val="000000"/>
          <w:szCs w:val="24"/>
        </w:rPr>
        <w:t xml:space="preserve"> Auch</w:t>
      </w:r>
      <w:r>
        <w:t xml:space="preserve"> die vielen komplizierten Lösungen an signalisierten Knotenpunkten erfordern sehr viel Bearbeitungszeit.</w:t>
      </w:r>
      <w:r w:rsidRPr="00480677">
        <w:t xml:space="preserve"> </w:t>
      </w:r>
      <w:r>
        <w:t>Außerdem greift die Radwegeplanung ins Bestandsnetz ein und es kann aufgrund der Platzverhältnisse häufig nur mit Sonderlösungen das Ziel erreicht werden.</w:t>
      </w:r>
    </w:p>
    <w:p w:rsidR="009B334A" w:rsidRDefault="009B334A" w:rsidP="00694161">
      <w:pPr>
        <w:rPr>
          <w:noProof/>
          <w:szCs w:val="22"/>
        </w:rPr>
      </w:pPr>
    </w:p>
    <w:p w:rsidR="003D7B0B" w:rsidRDefault="00291EA7" w:rsidP="00694161">
      <w:pPr>
        <w:rPr>
          <w:noProof/>
          <w:szCs w:val="22"/>
        </w:rPr>
      </w:pPr>
      <w:r>
        <w:rPr>
          <w:noProof/>
          <w:szCs w:val="22"/>
        </w:rPr>
        <w:t>D</w:t>
      </w:r>
      <w:r w:rsidR="009B334A">
        <w:rPr>
          <w:noProof/>
          <w:szCs w:val="22"/>
        </w:rPr>
        <w:t xml:space="preserve">as </w:t>
      </w:r>
      <w:r w:rsidR="00473B5A">
        <w:rPr>
          <w:noProof/>
          <w:szCs w:val="22"/>
        </w:rPr>
        <w:t xml:space="preserve">vom Gemeinderat beschlossene </w:t>
      </w:r>
      <w:r w:rsidR="009B334A">
        <w:rPr>
          <w:noProof/>
          <w:szCs w:val="22"/>
        </w:rPr>
        <w:t xml:space="preserve">Programm und der Ausbau der Hauptradrouten </w:t>
      </w:r>
      <w:r>
        <w:rPr>
          <w:noProof/>
          <w:szCs w:val="22"/>
        </w:rPr>
        <w:t xml:space="preserve">sind </w:t>
      </w:r>
      <w:r w:rsidR="009B334A">
        <w:rPr>
          <w:noProof/>
          <w:szCs w:val="22"/>
        </w:rPr>
        <w:t>noch nicht abgeschlossen</w:t>
      </w:r>
      <w:r>
        <w:rPr>
          <w:noProof/>
          <w:szCs w:val="22"/>
        </w:rPr>
        <w:t>. Außerdem hat sich die Förderung des Radverkehrs inzwischen als Daueraufgabe und fester Bestandteil des Aktionsplans Nachhaltige Mobilität sowie des Luftreinhalteplans etabliert</w:t>
      </w:r>
      <w:r w:rsidR="0090723F">
        <w:rPr>
          <w:noProof/>
          <w:szCs w:val="22"/>
        </w:rPr>
        <w:t xml:space="preserve"> (vgl. auch Grundsatzbeschluss GRDrs. 393/2017)</w:t>
      </w:r>
      <w:r>
        <w:rPr>
          <w:noProof/>
          <w:szCs w:val="22"/>
        </w:rPr>
        <w:t>.</w:t>
      </w:r>
      <w:r w:rsidR="009B334A">
        <w:rPr>
          <w:noProof/>
          <w:szCs w:val="22"/>
        </w:rPr>
        <w:t xml:space="preserve"> </w:t>
      </w:r>
      <w:r>
        <w:rPr>
          <w:noProof/>
          <w:szCs w:val="22"/>
        </w:rPr>
        <w:t>D</w:t>
      </w:r>
      <w:r w:rsidR="009B334A">
        <w:rPr>
          <w:noProof/>
          <w:szCs w:val="22"/>
        </w:rPr>
        <w:t xml:space="preserve">ie Stellen </w:t>
      </w:r>
      <w:r>
        <w:rPr>
          <w:noProof/>
          <w:szCs w:val="22"/>
        </w:rPr>
        <w:t>sind daher</w:t>
      </w:r>
      <w:r w:rsidR="00F76973">
        <w:rPr>
          <w:noProof/>
          <w:szCs w:val="22"/>
        </w:rPr>
        <w:t xml:space="preserve"> im Paket „nachhaltig mobil“ enthalten und</w:t>
      </w:r>
      <w:r>
        <w:rPr>
          <w:noProof/>
          <w:szCs w:val="22"/>
        </w:rPr>
        <w:t xml:space="preserve"> </w:t>
      </w:r>
      <w:r w:rsidR="009B334A">
        <w:rPr>
          <w:noProof/>
          <w:szCs w:val="22"/>
        </w:rPr>
        <w:t>weiterhin</w:t>
      </w:r>
      <w:r w:rsidR="009B334A" w:rsidRPr="0032288F">
        <w:rPr>
          <w:noProof/>
          <w:szCs w:val="22"/>
        </w:rPr>
        <w:t xml:space="preserve"> dringend </w:t>
      </w:r>
      <w:r>
        <w:rPr>
          <w:noProof/>
          <w:szCs w:val="22"/>
        </w:rPr>
        <w:t xml:space="preserve">und </w:t>
      </w:r>
      <w:r w:rsidR="009B334A">
        <w:rPr>
          <w:noProof/>
          <w:szCs w:val="22"/>
        </w:rPr>
        <w:t xml:space="preserve">dauerhaft </w:t>
      </w:r>
      <w:r w:rsidR="009B334A" w:rsidRPr="0032288F">
        <w:rPr>
          <w:noProof/>
          <w:szCs w:val="22"/>
        </w:rPr>
        <w:t>notwendig</w:t>
      </w:r>
      <w:r w:rsidR="009B334A">
        <w:rPr>
          <w:noProof/>
          <w:szCs w:val="22"/>
        </w:rPr>
        <w:t xml:space="preserve">. </w:t>
      </w:r>
    </w:p>
    <w:p w:rsidR="009B334A" w:rsidRDefault="009B334A" w:rsidP="009B334A">
      <w:pPr>
        <w:rPr>
          <w:rFonts w:ascii="Helv" w:hAnsi="Helv" w:cs="Helv"/>
          <w:color w:val="000000"/>
          <w:szCs w:val="24"/>
        </w:rPr>
      </w:pPr>
    </w:p>
    <w:p w:rsidR="009B334A" w:rsidRDefault="009B334A" w:rsidP="009B334A">
      <w:pPr>
        <w:autoSpaceDE w:val="0"/>
        <w:autoSpaceDN w:val="0"/>
        <w:adjustRightInd w:val="0"/>
        <w:spacing w:line="240" w:lineRule="atLeast"/>
        <w:rPr>
          <w:spacing w:val="2"/>
        </w:rPr>
      </w:pPr>
    </w:p>
    <w:sectPr w:rsidR="009B334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4A" w:rsidRDefault="009B334A">
      <w:r>
        <w:separator/>
      </w:r>
    </w:p>
  </w:endnote>
  <w:endnote w:type="continuationSeparator" w:id="0">
    <w:p w:rsidR="009B334A" w:rsidRDefault="009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4A" w:rsidRDefault="009B334A">
      <w:r>
        <w:separator/>
      </w:r>
    </w:p>
  </w:footnote>
  <w:footnote w:type="continuationSeparator" w:id="0">
    <w:p w:rsidR="009B334A" w:rsidRDefault="009B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4A" w:rsidRDefault="009B334A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B686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B6867">
      <w:rPr>
        <w:rStyle w:val="Seitenzahl"/>
      </w:rPr>
      <w:fldChar w:fldCharType="separate"/>
    </w:r>
    <w:r w:rsidR="00F76973">
      <w:rPr>
        <w:rStyle w:val="Seitenzahl"/>
        <w:noProof/>
      </w:rPr>
      <w:t>2</w:t>
    </w:r>
    <w:r w:rsidR="003B6867">
      <w:rPr>
        <w:rStyle w:val="Seitenzahl"/>
      </w:rPr>
      <w:fldChar w:fldCharType="end"/>
    </w:r>
    <w:r>
      <w:rPr>
        <w:rStyle w:val="Seitenzahl"/>
      </w:rPr>
      <w:t xml:space="preserve"> -</w:t>
    </w:r>
  </w:p>
  <w:p w:rsidR="009B334A" w:rsidRDefault="009B33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A1146"/>
    <w:rsid w:val="000C6146"/>
    <w:rsid w:val="000D2E9F"/>
    <w:rsid w:val="001058DD"/>
    <w:rsid w:val="00165C0D"/>
    <w:rsid w:val="00181857"/>
    <w:rsid w:val="001F5D9F"/>
    <w:rsid w:val="002058C2"/>
    <w:rsid w:val="0021264F"/>
    <w:rsid w:val="00213C7A"/>
    <w:rsid w:val="002812E4"/>
    <w:rsid w:val="00291EA7"/>
    <w:rsid w:val="002924CB"/>
    <w:rsid w:val="002B6783"/>
    <w:rsid w:val="002C2BCF"/>
    <w:rsid w:val="003237BB"/>
    <w:rsid w:val="003B6867"/>
    <w:rsid w:val="003D5196"/>
    <w:rsid w:val="003D7B0B"/>
    <w:rsid w:val="00453F67"/>
    <w:rsid w:val="00473B5A"/>
    <w:rsid w:val="004920E9"/>
    <w:rsid w:val="004B6796"/>
    <w:rsid w:val="004D7F89"/>
    <w:rsid w:val="00590909"/>
    <w:rsid w:val="005E7511"/>
    <w:rsid w:val="005E7A74"/>
    <w:rsid w:val="0061728D"/>
    <w:rsid w:val="00650E3A"/>
    <w:rsid w:val="00694161"/>
    <w:rsid w:val="006E0575"/>
    <w:rsid w:val="006F3601"/>
    <w:rsid w:val="00746A71"/>
    <w:rsid w:val="00767369"/>
    <w:rsid w:val="007B5FE2"/>
    <w:rsid w:val="007D10DD"/>
    <w:rsid w:val="0083052F"/>
    <w:rsid w:val="00884D6C"/>
    <w:rsid w:val="00891246"/>
    <w:rsid w:val="00893E55"/>
    <w:rsid w:val="0090723F"/>
    <w:rsid w:val="009B0FBE"/>
    <w:rsid w:val="009B334A"/>
    <w:rsid w:val="009F1B67"/>
    <w:rsid w:val="00A34898"/>
    <w:rsid w:val="00A77F1E"/>
    <w:rsid w:val="00B04290"/>
    <w:rsid w:val="00B238D8"/>
    <w:rsid w:val="00B42B93"/>
    <w:rsid w:val="00B503DD"/>
    <w:rsid w:val="00B76A76"/>
    <w:rsid w:val="00B80DEF"/>
    <w:rsid w:val="00BE1D0B"/>
    <w:rsid w:val="00C42332"/>
    <w:rsid w:val="00C448D3"/>
    <w:rsid w:val="00C66653"/>
    <w:rsid w:val="00CA79A9"/>
    <w:rsid w:val="00CD0B27"/>
    <w:rsid w:val="00D24277"/>
    <w:rsid w:val="00DA24CD"/>
    <w:rsid w:val="00DA701E"/>
    <w:rsid w:val="00DE32BA"/>
    <w:rsid w:val="00DF268B"/>
    <w:rsid w:val="00DF3470"/>
    <w:rsid w:val="00E1162F"/>
    <w:rsid w:val="00E11D5F"/>
    <w:rsid w:val="00F00C79"/>
    <w:rsid w:val="00F132FA"/>
    <w:rsid w:val="00F27657"/>
    <w:rsid w:val="00F27BB8"/>
    <w:rsid w:val="00F742A5"/>
    <w:rsid w:val="00F76973"/>
    <w:rsid w:val="00F97D37"/>
    <w:rsid w:val="00FC2C7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2FB6"/>
  <w15:docId w15:val="{D699FB1F-9556-47B1-9D46-50A5AA6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812E4"/>
    <w:pPr>
      <w:keepNext/>
      <w:spacing w:before="480"/>
      <w:ind w:left="284" w:hanging="284"/>
      <w:outlineLvl w:val="0"/>
    </w:pPr>
    <w:rPr>
      <w:b/>
      <w:kern w:val="24"/>
      <w:u w:val="single"/>
    </w:rPr>
  </w:style>
  <w:style w:type="paragraph" w:styleId="berschrift2">
    <w:name w:val="heading 2"/>
    <w:basedOn w:val="Standard"/>
    <w:next w:val="Standard"/>
    <w:qFormat/>
    <w:rsid w:val="002812E4"/>
    <w:pPr>
      <w:keepNext/>
      <w:spacing w:before="240"/>
      <w:ind w:left="482" w:hanging="482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qFormat/>
    <w:rsid w:val="00F742A5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F742A5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F742A5"/>
    <w:rPr>
      <w:sz w:val="16"/>
    </w:rPr>
  </w:style>
  <w:style w:type="paragraph" w:styleId="Kommentartext">
    <w:name w:val="annotation text"/>
    <w:basedOn w:val="Standard"/>
    <w:semiHidden/>
    <w:rsid w:val="00F742A5"/>
    <w:rPr>
      <w:sz w:val="20"/>
    </w:rPr>
  </w:style>
  <w:style w:type="paragraph" w:styleId="Fuzeile">
    <w:name w:val="footer"/>
    <w:basedOn w:val="Standard"/>
    <w:rsid w:val="00F742A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F742A5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CB3073DB.dotm</Template>
  <TotalTime>0</TotalTime>
  <Pages>1</Pages>
  <Words>216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von Stellenvermerken zum Stellenplan</vt:lpstr>
    </vt:vector>
  </TitlesOfParts>
  <Company>LHS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von Stellenvermerken zum Stellenplan</dc:title>
  <dc:subject>Musterformular für das Stellenplanverfahren 2012/2013</dc:subject>
  <dc:creator>10-3</dc:creator>
  <cp:keywords/>
  <dc:description/>
  <cp:lastModifiedBy>U103007</cp:lastModifiedBy>
  <cp:revision>3</cp:revision>
  <cp:lastPrinted>2017-09-17T15:51:00Z</cp:lastPrinted>
  <dcterms:created xsi:type="dcterms:W3CDTF">2017-09-11T13:37:00Z</dcterms:created>
  <dcterms:modified xsi:type="dcterms:W3CDTF">2017-09-17T15:51:00Z</dcterms:modified>
</cp:coreProperties>
</file>