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16E83">
        <w:t>35</w:t>
      </w:r>
      <w:r w:rsidRPr="006E0575">
        <w:t xml:space="preserve"> zur </w:t>
      </w:r>
      <w:proofErr w:type="spellStart"/>
      <w:r w:rsidRPr="006E0575">
        <w:t>GRDrs</w:t>
      </w:r>
      <w:proofErr w:type="spellEnd"/>
      <w:r w:rsidRPr="006E0575">
        <w:t xml:space="preserve"> </w:t>
      </w:r>
      <w:r w:rsidR="00716E83">
        <w:t>890</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613A51">
        <w:rPr>
          <w:b/>
          <w:sz w:val="36"/>
          <w:szCs w:val="36"/>
          <w:u w:val="single"/>
        </w:rPr>
        <w:t>0</w:t>
      </w: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EE1346">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716E83" w:rsidRPr="00716E83" w:rsidTr="00EE1346">
        <w:tc>
          <w:tcPr>
            <w:tcW w:w="1814" w:type="dxa"/>
          </w:tcPr>
          <w:p w:rsidR="005F5B3D" w:rsidRPr="00716E83" w:rsidRDefault="005F5B3D" w:rsidP="0030686C">
            <w:pPr>
              <w:rPr>
                <w:sz w:val="20"/>
              </w:rPr>
            </w:pPr>
          </w:p>
          <w:p w:rsidR="005F5B3D" w:rsidRPr="00716E83" w:rsidRDefault="00935CE3" w:rsidP="0030686C">
            <w:pPr>
              <w:rPr>
                <w:sz w:val="20"/>
              </w:rPr>
            </w:pPr>
            <w:r w:rsidRPr="00716E83">
              <w:rPr>
                <w:sz w:val="20"/>
              </w:rPr>
              <w:t>67-</w:t>
            </w:r>
            <w:r w:rsidR="007B5CD7" w:rsidRPr="00716E83">
              <w:rPr>
                <w:sz w:val="20"/>
              </w:rPr>
              <w:t>4.3</w:t>
            </w:r>
          </w:p>
          <w:p w:rsidR="0011112B" w:rsidRPr="00716E83" w:rsidRDefault="0011112B" w:rsidP="0030686C">
            <w:pPr>
              <w:rPr>
                <w:sz w:val="20"/>
              </w:rPr>
            </w:pPr>
          </w:p>
          <w:p w:rsidR="0011112B" w:rsidRPr="00716E83" w:rsidRDefault="00935CE3" w:rsidP="0030686C">
            <w:pPr>
              <w:rPr>
                <w:sz w:val="20"/>
              </w:rPr>
            </w:pPr>
            <w:r w:rsidRPr="00716E83">
              <w:rPr>
                <w:sz w:val="20"/>
              </w:rPr>
              <w:t>67</w:t>
            </w:r>
            <w:r w:rsidR="007B5CD7" w:rsidRPr="00716E83">
              <w:rPr>
                <w:sz w:val="20"/>
              </w:rPr>
              <w:t>43 5010</w:t>
            </w:r>
          </w:p>
          <w:p w:rsidR="005F5B3D" w:rsidRPr="00716E83" w:rsidRDefault="005F5B3D" w:rsidP="0030686C">
            <w:pPr>
              <w:rPr>
                <w:sz w:val="20"/>
              </w:rPr>
            </w:pPr>
          </w:p>
        </w:tc>
        <w:tc>
          <w:tcPr>
            <w:tcW w:w="1701" w:type="dxa"/>
          </w:tcPr>
          <w:p w:rsidR="005F5B3D" w:rsidRPr="00716E83" w:rsidRDefault="005F5B3D" w:rsidP="0030686C">
            <w:pPr>
              <w:rPr>
                <w:sz w:val="20"/>
              </w:rPr>
            </w:pPr>
          </w:p>
          <w:p w:rsidR="00716E83" w:rsidRDefault="00716E83" w:rsidP="00716E83">
            <w:pPr>
              <w:rPr>
                <w:sz w:val="20"/>
              </w:rPr>
            </w:pPr>
            <w:r>
              <w:rPr>
                <w:sz w:val="20"/>
              </w:rPr>
              <w:t>Garten-,</w:t>
            </w:r>
          </w:p>
          <w:p w:rsidR="005F5B3D" w:rsidRPr="00716E83" w:rsidRDefault="00716E83" w:rsidP="00716E83">
            <w:pPr>
              <w:rPr>
                <w:sz w:val="20"/>
              </w:rPr>
            </w:pPr>
            <w:r>
              <w:rPr>
                <w:sz w:val="20"/>
              </w:rPr>
              <w:t>Friedhofs- und Forstamt</w:t>
            </w:r>
          </w:p>
        </w:tc>
        <w:tc>
          <w:tcPr>
            <w:tcW w:w="794" w:type="dxa"/>
          </w:tcPr>
          <w:p w:rsidR="00935CE3" w:rsidRPr="00716E83" w:rsidRDefault="00935CE3" w:rsidP="0030686C">
            <w:pPr>
              <w:rPr>
                <w:sz w:val="20"/>
              </w:rPr>
            </w:pPr>
          </w:p>
          <w:p w:rsidR="005F5B3D" w:rsidRPr="00716E83" w:rsidRDefault="00EE1346" w:rsidP="0030686C">
            <w:pPr>
              <w:rPr>
                <w:sz w:val="20"/>
              </w:rPr>
            </w:pPr>
            <w:r w:rsidRPr="00716E83">
              <w:rPr>
                <w:sz w:val="20"/>
              </w:rPr>
              <w:t>EG 12</w:t>
            </w:r>
          </w:p>
        </w:tc>
        <w:tc>
          <w:tcPr>
            <w:tcW w:w="1928" w:type="dxa"/>
          </w:tcPr>
          <w:p w:rsidR="005F5B3D" w:rsidRPr="00716E83" w:rsidRDefault="005F5B3D" w:rsidP="0030686C">
            <w:pPr>
              <w:rPr>
                <w:sz w:val="20"/>
              </w:rPr>
            </w:pPr>
          </w:p>
          <w:p w:rsidR="005F5B3D" w:rsidRPr="00716E83" w:rsidRDefault="007B5CD7" w:rsidP="00935CE3">
            <w:pPr>
              <w:rPr>
                <w:sz w:val="20"/>
              </w:rPr>
            </w:pPr>
            <w:r w:rsidRPr="00716E83">
              <w:rPr>
                <w:sz w:val="20"/>
              </w:rPr>
              <w:t>Bezirksingenieur</w:t>
            </w:r>
          </w:p>
        </w:tc>
        <w:tc>
          <w:tcPr>
            <w:tcW w:w="737" w:type="dxa"/>
            <w:shd w:val="pct12" w:color="auto" w:fill="FFFFFF"/>
          </w:tcPr>
          <w:p w:rsidR="005F5B3D" w:rsidRPr="00716E83" w:rsidRDefault="005F5B3D" w:rsidP="0030686C">
            <w:pPr>
              <w:rPr>
                <w:sz w:val="20"/>
              </w:rPr>
            </w:pPr>
          </w:p>
          <w:p w:rsidR="005F5B3D" w:rsidRPr="00716E83" w:rsidRDefault="00EE1346" w:rsidP="00F831E2">
            <w:pPr>
              <w:rPr>
                <w:sz w:val="20"/>
              </w:rPr>
            </w:pPr>
            <w:r w:rsidRPr="00716E83">
              <w:rPr>
                <w:sz w:val="20"/>
              </w:rPr>
              <w:t>0,75</w:t>
            </w:r>
          </w:p>
        </w:tc>
        <w:tc>
          <w:tcPr>
            <w:tcW w:w="1134" w:type="dxa"/>
          </w:tcPr>
          <w:p w:rsidR="005F5B3D" w:rsidRPr="00716E83" w:rsidRDefault="005F5B3D" w:rsidP="0030686C">
            <w:pPr>
              <w:rPr>
                <w:sz w:val="20"/>
              </w:rPr>
            </w:pPr>
          </w:p>
          <w:p w:rsidR="005F5B3D" w:rsidRPr="00716E83" w:rsidRDefault="00716E83" w:rsidP="0030686C">
            <w:pPr>
              <w:rPr>
                <w:sz w:val="20"/>
              </w:rPr>
            </w:pPr>
            <w:r>
              <w:rPr>
                <w:sz w:val="20"/>
              </w:rPr>
              <w:t>--</w:t>
            </w:r>
          </w:p>
        </w:tc>
        <w:tc>
          <w:tcPr>
            <w:tcW w:w="1417" w:type="dxa"/>
          </w:tcPr>
          <w:p w:rsidR="00716E83" w:rsidRDefault="00716E83" w:rsidP="00716E83">
            <w:pPr>
              <w:jc w:val="right"/>
              <w:rPr>
                <w:sz w:val="20"/>
              </w:rPr>
            </w:pPr>
          </w:p>
          <w:p w:rsidR="005F5B3D" w:rsidRDefault="00716E83" w:rsidP="00716E83">
            <w:pPr>
              <w:jc w:val="right"/>
              <w:rPr>
                <w:sz w:val="20"/>
              </w:rPr>
            </w:pPr>
            <w:r>
              <w:rPr>
                <w:sz w:val="20"/>
              </w:rPr>
              <w:t>64.350</w:t>
            </w:r>
          </w:p>
          <w:p w:rsidR="00716E83" w:rsidRPr="00716E83" w:rsidRDefault="00716E83" w:rsidP="00716E83">
            <w:pPr>
              <w:jc w:val="right"/>
              <w:rPr>
                <w:sz w:val="20"/>
              </w:rPr>
            </w:pPr>
          </w:p>
        </w:tc>
      </w:tr>
    </w:tbl>
    <w:p w:rsidR="003D7B0B" w:rsidRDefault="006E0575" w:rsidP="00884D6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F765D6" w:rsidRPr="00F765D6" w:rsidRDefault="00F765D6" w:rsidP="00F765D6"/>
    <w:p w:rsidR="003D7B0B" w:rsidRPr="00716E83" w:rsidRDefault="003400C1" w:rsidP="00EE1346">
      <w:r>
        <w:t xml:space="preserve">Beantragt wird die Schaffung </w:t>
      </w:r>
      <w:r w:rsidR="00EE1346">
        <w:t>einer 0,75</w:t>
      </w:r>
      <w:r w:rsidR="00E85EC1">
        <w:t xml:space="preserve"> Stelle </w:t>
      </w:r>
      <w:r w:rsidR="007B5CD7">
        <w:t xml:space="preserve">in EG 12 </w:t>
      </w:r>
      <w:r w:rsidR="00E85EC1">
        <w:t xml:space="preserve">für </w:t>
      </w:r>
      <w:r w:rsidR="007B5CD7">
        <w:t>eine/n Bezirksingenieur/in der Fachrichtung Landschaftsarchitektur/ Landespflege.</w:t>
      </w:r>
      <w:r w:rsidR="00787B49">
        <w:t xml:space="preserve"> </w:t>
      </w:r>
      <w:r w:rsidR="007B5CD7">
        <w:t>Die Stelle ist für die Bearbeitung von Einzelmaßnahmen</w:t>
      </w:r>
      <w:r w:rsidR="00132A2C">
        <w:t xml:space="preserve"> und Sonderprogramme</w:t>
      </w:r>
      <w:r>
        <w:t>n</w:t>
      </w:r>
      <w:r w:rsidR="007B5CD7">
        <w:t xml:space="preserve"> im Bereich der Spielplatzsanierung und Neugestaltung von Spielflächen im Aufgabenfeld der Abteilung Stadtgrün vorgesehen.</w:t>
      </w:r>
    </w:p>
    <w:p w:rsidR="003D7B0B" w:rsidRDefault="003D7B0B" w:rsidP="00884D6C">
      <w:pPr>
        <w:pStyle w:val="berschrift1"/>
      </w:pPr>
      <w:r>
        <w:t>2</w:t>
      </w:r>
      <w:r>
        <w:tab/>
        <w:t>Schaffun</w:t>
      </w:r>
      <w:r w:rsidRPr="00884D6C">
        <w:rPr>
          <w:u w:val="none"/>
        </w:rPr>
        <w:t>g</w:t>
      </w:r>
      <w:r>
        <w:t>skriterien</w:t>
      </w:r>
    </w:p>
    <w:p w:rsidR="00F765D6" w:rsidRPr="00F765D6" w:rsidRDefault="00F765D6" w:rsidP="00F765D6"/>
    <w:p w:rsidR="00CC6395" w:rsidRPr="00CC6395" w:rsidRDefault="00F63FCE" w:rsidP="00CC6395">
      <w:pPr>
        <w:rPr>
          <w:szCs w:val="22"/>
        </w:rPr>
      </w:pPr>
      <w:r>
        <w:t xml:space="preserve">Die Schaffung der </w:t>
      </w:r>
      <w:r w:rsidR="00EE1346">
        <w:t>0,75 Stelle</w:t>
      </w:r>
      <w:r>
        <w:t xml:space="preserve"> ist in der „</w:t>
      </w:r>
      <w:r w:rsidR="00CC6395">
        <w:t>Grünen Li</w:t>
      </w:r>
      <w:r>
        <w:t>ste“ zum Haushalt 2020 enthal</w:t>
      </w:r>
      <w:r w:rsidR="00EE1346">
        <w:t xml:space="preserve">ten. </w:t>
      </w:r>
      <w:r w:rsidR="007B5CD7">
        <w:t xml:space="preserve">Mit der finanziellen Aufstockung der Investitionspauschale für Spielflächen sind zusätzliche Maßnahmen umzusetzen. </w:t>
      </w:r>
      <w:r w:rsidR="00EE1346">
        <w:t xml:space="preserve">Zur Neugestaltung von Spielplätzen und </w:t>
      </w:r>
      <w:r w:rsidR="00716E83">
        <w:t xml:space="preserve">dem </w:t>
      </w:r>
      <w:r w:rsidR="00EE1346">
        <w:t xml:space="preserve">Spielgeräteersatz </w:t>
      </w:r>
      <w:r w:rsidR="007E2732">
        <w:t>bedarf es</w:t>
      </w:r>
      <w:r w:rsidR="007B5CD7">
        <w:t xml:space="preserve"> </w:t>
      </w:r>
      <w:r w:rsidR="00F765D6">
        <w:t>weiterer</w:t>
      </w:r>
      <w:r w:rsidR="00CC6395" w:rsidRPr="00CC6395">
        <w:rPr>
          <w:szCs w:val="22"/>
        </w:rPr>
        <w:t xml:space="preserve"> </w:t>
      </w:r>
      <w:r w:rsidR="002F485B">
        <w:rPr>
          <w:szCs w:val="22"/>
        </w:rPr>
        <w:t>personeller</w:t>
      </w:r>
      <w:r w:rsidR="00716E83">
        <w:rPr>
          <w:szCs w:val="22"/>
        </w:rPr>
        <w:t xml:space="preserve"> Ressourcen</w:t>
      </w:r>
      <w:r w:rsidR="00F765D6">
        <w:rPr>
          <w:szCs w:val="22"/>
        </w:rPr>
        <w:t>.</w:t>
      </w:r>
    </w:p>
    <w:p w:rsidR="00F63FCE" w:rsidRDefault="00F63FCE" w:rsidP="00884D6C"/>
    <w:p w:rsidR="00F63FCE" w:rsidRDefault="00F63FCE" w:rsidP="00884D6C">
      <w:r>
        <w:rPr>
          <w:rFonts w:eastAsiaTheme="minorHAnsi" w:cs="Arial"/>
          <w:kern w:val="12"/>
          <w:lang w:eastAsia="en-US"/>
        </w:rPr>
        <w:t xml:space="preserve">Auf die Ausführungen der </w:t>
      </w:r>
      <w:proofErr w:type="spellStart"/>
      <w:r>
        <w:rPr>
          <w:rFonts w:eastAsiaTheme="minorHAnsi" w:cs="Arial"/>
          <w:kern w:val="12"/>
          <w:lang w:eastAsia="en-US"/>
        </w:rPr>
        <w:t>GRDrs</w:t>
      </w:r>
      <w:proofErr w:type="spellEnd"/>
      <w:r>
        <w:rPr>
          <w:rFonts w:eastAsiaTheme="minorHAnsi" w:cs="Arial"/>
          <w:kern w:val="12"/>
          <w:lang w:eastAsia="en-US"/>
        </w:rPr>
        <w:t xml:space="preserve"> </w:t>
      </w:r>
      <w:r w:rsidR="00EE1346">
        <w:rPr>
          <w:rFonts w:eastAsiaTheme="minorHAnsi" w:cs="Arial"/>
          <w:kern w:val="12"/>
          <w:lang w:eastAsia="en-US"/>
        </w:rPr>
        <w:t>504</w:t>
      </w:r>
      <w:r>
        <w:rPr>
          <w:rFonts w:eastAsiaTheme="minorHAnsi" w:cs="Arial"/>
          <w:kern w:val="12"/>
          <w:lang w:eastAsia="en-US"/>
        </w:rPr>
        <w:t xml:space="preserve">/2019 </w:t>
      </w:r>
      <w:r w:rsidR="00CC6395">
        <w:rPr>
          <w:rFonts w:eastAsiaTheme="minorHAnsi" w:cs="Arial"/>
          <w:kern w:val="12"/>
          <w:lang w:eastAsia="en-US"/>
        </w:rPr>
        <w:t>(</w:t>
      </w:r>
      <w:proofErr w:type="spellStart"/>
      <w:r w:rsidR="00CC6395">
        <w:rPr>
          <w:rFonts w:eastAsiaTheme="minorHAnsi" w:cs="Arial"/>
          <w:kern w:val="12"/>
          <w:lang w:eastAsia="en-US"/>
        </w:rPr>
        <w:t>hh</w:t>
      </w:r>
      <w:proofErr w:type="spellEnd"/>
      <w:r w:rsidR="00CC6395">
        <w:rPr>
          <w:rFonts w:eastAsiaTheme="minorHAnsi" w:cs="Arial"/>
          <w:kern w:val="12"/>
          <w:lang w:eastAsia="en-US"/>
        </w:rPr>
        <w:t xml:space="preserve">-relevante Mitteilungsvorlage) </w:t>
      </w:r>
      <w:r>
        <w:rPr>
          <w:rFonts w:eastAsiaTheme="minorHAnsi" w:cs="Arial"/>
          <w:kern w:val="12"/>
          <w:lang w:eastAsia="en-US"/>
        </w:rPr>
        <w:t>wird verwiesen</w:t>
      </w:r>
      <w:r w:rsidR="00CC6395">
        <w:rPr>
          <w:rFonts w:eastAsiaTheme="minorHAnsi" w:cs="Arial"/>
          <w:kern w:val="12"/>
          <w:lang w:eastAsia="en-US"/>
        </w:rPr>
        <w:t>.</w:t>
      </w:r>
    </w:p>
    <w:p w:rsidR="00F63FCE" w:rsidRDefault="00F63FCE" w:rsidP="00884D6C"/>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EE1346" w:rsidRDefault="00EE1346" w:rsidP="00EE1346"/>
    <w:p w:rsidR="00081C2C" w:rsidRDefault="00EE1346" w:rsidP="00EE1346">
      <w:pPr>
        <w:rPr>
          <w:color w:val="000000"/>
          <w:szCs w:val="20"/>
        </w:rPr>
      </w:pPr>
      <w:r w:rsidRPr="00EE1346">
        <w:rPr>
          <w:color w:val="000000"/>
          <w:szCs w:val="20"/>
        </w:rPr>
        <w:t xml:space="preserve">Basierend auf den geäußerten Wünschen städtischer Gremien zur Umsetzung von Projekten und Maßnahmen, vorliegenden Planungsideen städtischer Ämter </w:t>
      </w:r>
      <w:r w:rsidR="007E2732">
        <w:rPr>
          <w:color w:val="000000"/>
          <w:szCs w:val="20"/>
        </w:rPr>
        <w:t>sowie</w:t>
      </w:r>
      <w:r w:rsidRPr="00EE1346">
        <w:rPr>
          <w:color w:val="000000"/>
          <w:szCs w:val="20"/>
        </w:rPr>
        <w:t xml:space="preserve"> eigenen Planungen </w:t>
      </w:r>
      <w:r>
        <w:rPr>
          <w:color w:val="000000"/>
          <w:szCs w:val="20"/>
        </w:rPr>
        <w:t>im Zusammenhang mit Kinderspielp</w:t>
      </w:r>
      <w:r w:rsidR="00081C2C">
        <w:rPr>
          <w:color w:val="000000"/>
          <w:szCs w:val="20"/>
        </w:rPr>
        <w:t>lätzen und Spielgeräte</w:t>
      </w:r>
      <w:r>
        <w:rPr>
          <w:color w:val="000000"/>
          <w:szCs w:val="20"/>
        </w:rPr>
        <w:t xml:space="preserve">ersatz </w:t>
      </w:r>
      <w:r w:rsidR="00117AA7">
        <w:rPr>
          <w:color w:val="000000"/>
          <w:szCs w:val="20"/>
        </w:rPr>
        <w:t xml:space="preserve">sollen </w:t>
      </w:r>
      <w:r w:rsidR="007E2732">
        <w:rPr>
          <w:color w:val="000000"/>
          <w:szCs w:val="20"/>
        </w:rPr>
        <w:t xml:space="preserve">in Erweiterung der bestehenden Investitionspauschale </w:t>
      </w:r>
      <w:r w:rsidRPr="00EE1346">
        <w:rPr>
          <w:color w:val="000000"/>
          <w:szCs w:val="20"/>
        </w:rPr>
        <w:t xml:space="preserve">zusätzliche Projekte </w:t>
      </w:r>
      <w:r w:rsidR="007E2732">
        <w:rPr>
          <w:color w:val="000000"/>
          <w:szCs w:val="20"/>
        </w:rPr>
        <w:t>realisiert werden.</w:t>
      </w:r>
    </w:p>
    <w:p w:rsidR="003400C1" w:rsidRDefault="003400C1" w:rsidP="00EE1346">
      <w:pPr>
        <w:rPr>
          <w:color w:val="000000"/>
          <w:szCs w:val="20"/>
        </w:rPr>
      </w:pPr>
    </w:p>
    <w:p w:rsidR="007E2732" w:rsidRDefault="007E2732" w:rsidP="00EE1346">
      <w:pPr>
        <w:rPr>
          <w:color w:val="000000"/>
          <w:szCs w:val="20"/>
        </w:rPr>
      </w:pPr>
      <w:r>
        <w:rPr>
          <w:color w:val="000000"/>
          <w:szCs w:val="20"/>
        </w:rPr>
        <w:t xml:space="preserve">Stark überalterte und wenig attraktive Spielflächen sollen in einer Komplettsanierung und Überarbeitung der Spielkonzeption an heutige Bedürfnisse und Kriterien einer spiel- </w:t>
      </w:r>
      <w:r>
        <w:rPr>
          <w:color w:val="000000"/>
          <w:szCs w:val="20"/>
        </w:rPr>
        <w:lastRenderedPageBreak/>
        <w:t xml:space="preserve">und bewegungsorientierten Kindesentwicklung angepasst werden. </w:t>
      </w:r>
      <w:r w:rsidR="00900256">
        <w:rPr>
          <w:color w:val="000000"/>
          <w:szCs w:val="20"/>
        </w:rPr>
        <w:t>Handlungsprinzipien des Aktionsplans „Kinderfreundliche Kommune“, „Masterplan urbane Bewegungsräume“ oder die Thematik der Inklusion finden verstärkt Berücksichtigung in der Umsetzung.</w:t>
      </w:r>
    </w:p>
    <w:p w:rsidR="00081C2C" w:rsidRDefault="00081C2C" w:rsidP="00EE1346">
      <w:pPr>
        <w:rPr>
          <w:color w:val="000000"/>
          <w:szCs w:val="20"/>
        </w:rPr>
      </w:pPr>
    </w:p>
    <w:p w:rsidR="00EE1346" w:rsidRPr="00EE1346" w:rsidRDefault="00900256" w:rsidP="00EE1346">
      <w:pPr>
        <w:rPr>
          <w:color w:val="000000"/>
          <w:szCs w:val="20"/>
        </w:rPr>
      </w:pPr>
      <w:r>
        <w:rPr>
          <w:color w:val="000000"/>
          <w:szCs w:val="20"/>
        </w:rPr>
        <w:t>Darüber hinaus beabsichtigt d</w:t>
      </w:r>
      <w:r w:rsidR="00EE1346" w:rsidRPr="00EE1346">
        <w:rPr>
          <w:color w:val="000000"/>
          <w:szCs w:val="20"/>
        </w:rPr>
        <w:t>as Garten-, Friedhofs- und Forstamt eine stadtweite Bestandsanalyse der Spielflächen vorzunehmen, die anhand neuer Kriterien wie Inklusion, Bewegungsabläufe usw. den Zustand der Stuttgarter Spielplätze bewertet. Aus den Ergebnissen der Analyse ist eine Abstimmung und Integration der Handlungsempfehlungen städtischer Programme vorgesehen mit dem Ziel eine konzeptionelle und strategische Entwicklung der Stuttgarter Spielflächen zu etablieren. Ebenso sollen neue Standards zur Spielflächenplanung definiert und die Festlegung eines Spielgerätekataloges erfolgen.</w:t>
      </w:r>
      <w:r w:rsidR="00081C2C">
        <w:rPr>
          <w:color w:val="000000"/>
          <w:szCs w:val="20"/>
        </w:rPr>
        <w:t xml:space="preserve"> </w:t>
      </w:r>
    </w:p>
    <w:p w:rsidR="00F765D6" w:rsidRPr="00F765D6" w:rsidRDefault="00F765D6" w:rsidP="00F765D6"/>
    <w:p w:rsidR="00117AA7" w:rsidRDefault="003D7B0B" w:rsidP="00117AA7">
      <w:pPr>
        <w:pStyle w:val="berschrift2"/>
      </w:pPr>
      <w:r w:rsidRPr="00165C0D">
        <w:t>3.2</w:t>
      </w:r>
      <w:r w:rsidRPr="00165C0D">
        <w:tab/>
        <w:t>Bisherige Aufgabenwahrnehmung</w:t>
      </w:r>
    </w:p>
    <w:p w:rsidR="00117AA7" w:rsidRDefault="00117AA7" w:rsidP="00117AA7"/>
    <w:p w:rsidR="00132A2C" w:rsidRDefault="00A3738E" w:rsidP="00F765D6">
      <w:r>
        <w:t>Durch</w:t>
      </w:r>
      <w:r w:rsidR="003400C1">
        <w:t xml:space="preserve"> die Erhöhung der bereit</w:t>
      </w:r>
      <w:r w:rsidR="00117AA7">
        <w:t>gestellten Finanzmittel für den Bere</w:t>
      </w:r>
      <w:r>
        <w:t>ich Spielflächen und Spielangebote</w:t>
      </w:r>
      <w:r w:rsidR="00117AA7">
        <w:t xml:space="preserve"> </w:t>
      </w:r>
      <w:r>
        <w:t xml:space="preserve">ergibt sich ein erhöhter Arbeitsanfall. </w:t>
      </w:r>
      <w:r w:rsidR="00132A2C">
        <w:t>Die Tätigkeiten können nicht zusätzlich durch vorhandenes Personal im Bezirk geleistet werden.</w:t>
      </w:r>
    </w:p>
    <w:p w:rsidR="003400C1" w:rsidRDefault="003400C1" w:rsidP="00F765D6"/>
    <w:p w:rsidR="00F765D6" w:rsidRPr="00F765D6" w:rsidRDefault="00132A2C" w:rsidP="00F765D6">
      <w:r>
        <w:t>Die Erstellung einer gesamtstädtischen Entwicklungsstrategie mit inkludierter Bestandsanalyse für Stuttgarter Spielflächen ist neu initiiert.</w:t>
      </w:r>
      <w:r w:rsidR="003400C1">
        <w:t xml:space="preserve"> </w:t>
      </w:r>
      <w:r w:rsidR="00A3738E">
        <w:t xml:space="preserve">Die bisher zur Verfügung stehenden Personalressourcen </w:t>
      </w:r>
      <w:r>
        <w:t>sind zur Sicherstellung der Aufgabenwahrnehmung nicht ausreichend</w:t>
      </w:r>
      <w:r w:rsidR="00A3738E">
        <w:t xml:space="preserve">. </w:t>
      </w:r>
    </w:p>
    <w:p w:rsidR="0057034A" w:rsidRDefault="0057034A" w:rsidP="0057034A"/>
    <w:p w:rsidR="003D7B0B" w:rsidRDefault="006E0575" w:rsidP="00884D6C">
      <w:pPr>
        <w:pStyle w:val="berschrift2"/>
      </w:pPr>
      <w:r>
        <w:t>3.3</w:t>
      </w:r>
      <w:r w:rsidR="003D7B0B">
        <w:tab/>
        <w:t>Auswirkungen bei Ablehnung der Stellenschaffungen</w:t>
      </w:r>
    </w:p>
    <w:p w:rsidR="00117AA7" w:rsidRPr="00117AA7" w:rsidRDefault="00117AA7" w:rsidP="00117AA7"/>
    <w:p w:rsidR="0057034A" w:rsidRDefault="00117AA7" w:rsidP="0057034A">
      <w:r>
        <w:t xml:space="preserve">Erfolgt keine Personalaufstockung kann die Erledigung </w:t>
      </w:r>
      <w:r w:rsidR="00900256">
        <w:t>von Einzelprojekten wie Komplettsanierungen von Spielplätzen</w:t>
      </w:r>
      <w:r>
        <w:t xml:space="preserve"> nicht sichergestellt werden.</w:t>
      </w:r>
      <w:r w:rsidR="00900256">
        <w:t xml:space="preserve"> </w:t>
      </w:r>
      <w:r w:rsidR="00132A2C">
        <w:t>Zudem kann d</w:t>
      </w:r>
      <w:r w:rsidR="00900256">
        <w:t xml:space="preserve">ie geplante, gesamtstädtische Betrachtung in Form einer Spielplatz-Bestandsanalyse und </w:t>
      </w:r>
      <w:r w:rsidR="00132A2C">
        <w:t>die</w:t>
      </w:r>
      <w:r w:rsidR="00900256">
        <w:t xml:space="preserve"> hieraus zu erstellende Konzeption einer strategischen Ausrichtung und Entwicklung der Stuttgarter Spielplätze nicht umgesetzt werden.</w:t>
      </w:r>
    </w:p>
    <w:p w:rsidR="00C248A1" w:rsidRDefault="00C248A1" w:rsidP="00C248A1">
      <w:r>
        <w:t xml:space="preserve"> </w:t>
      </w:r>
    </w:p>
    <w:p w:rsidR="003D7B0B" w:rsidRDefault="00884D6C" w:rsidP="00884D6C">
      <w:pPr>
        <w:pStyle w:val="berschrift1"/>
      </w:pPr>
      <w:r>
        <w:t>4</w:t>
      </w:r>
      <w:r>
        <w:tab/>
      </w:r>
      <w:r w:rsidR="003D7B0B">
        <w:t>Stellenvermerke</w:t>
      </w:r>
    </w:p>
    <w:p w:rsidR="00DE362D" w:rsidRDefault="00DE362D" w:rsidP="00884D6C">
      <w:bookmarkStart w:id="0" w:name="_GoBack"/>
      <w:bookmarkEnd w:id="0"/>
    </w:p>
    <w:p w:rsidR="00716E83" w:rsidRDefault="00716E83" w:rsidP="00884D6C">
      <w:r>
        <w:t>keine</w:t>
      </w:r>
    </w:p>
    <w:sectPr w:rsidR="00716E83"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716E83">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15070"/>
    <w:rsid w:val="00055758"/>
    <w:rsid w:val="00081C2C"/>
    <w:rsid w:val="000A1146"/>
    <w:rsid w:val="000A4629"/>
    <w:rsid w:val="001034AF"/>
    <w:rsid w:val="0011112B"/>
    <w:rsid w:val="00117AA7"/>
    <w:rsid w:val="00132A2C"/>
    <w:rsid w:val="0014415D"/>
    <w:rsid w:val="00151488"/>
    <w:rsid w:val="00163034"/>
    <w:rsid w:val="00164678"/>
    <w:rsid w:val="00165C0D"/>
    <w:rsid w:val="00181857"/>
    <w:rsid w:val="00184EDC"/>
    <w:rsid w:val="00194770"/>
    <w:rsid w:val="001A5F9B"/>
    <w:rsid w:val="001F7237"/>
    <w:rsid w:val="00216752"/>
    <w:rsid w:val="002924CB"/>
    <w:rsid w:val="002A20D1"/>
    <w:rsid w:val="002A4DE3"/>
    <w:rsid w:val="002B5955"/>
    <w:rsid w:val="002D11A8"/>
    <w:rsid w:val="002F485B"/>
    <w:rsid w:val="0030686C"/>
    <w:rsid w:val="003400C1"/>
    <w:rsid w:val="00380937"/>
    <w:rsid w:val="00397717"/>
    <w:rsid w:val="003D7B0B"/>
    <w:rsid w:val="003F0FAA"/>
    <w:rsid w:val="00470135"/>
    <w:rsid w:val="0047606A"/>
    <w:rsid w:val="004908B5"/>
    <w:rsid w:val="0049121B"/>
    <w:rsid w:val="004948F8"/>
    <w:rsid w:val="004A1688"/>
    <w:rsid w:val="004B5506"/>
    <w:rsid w:val="004B6796"/>
    <w:rsid w:val="0057034A"/>
    <w:rsid w:val="005A0A9D"/>
    <w:rsid w:val="005A56AA"/>
    <w:rsid w:val="005E19C6"/>
    <w:rsid w:val="005F5B3D"/>
    <w:rsid w:val="00606F80"/>
    <w:rsid w:val="00613A51"/>
    <w:rsid w:val="00622CC7"/>
    <w:rsid w:val="00654863"/>
    <w:rsid w:val="006A406B"/>
    <w:rsid w:val="006B6D50"/>
    <w:rsid w:val="006E0575"/>
    <w:rsid w:val="00716E83"/>
    <w:rsid w:val="0072799A"/>
    <w:rsid w:val="00754659"/>
    <w:rsid w:val="00766B5C"/>
    <w:rsid w:val="00787B49"/>
    <w:rsid w:val="007B5CD7"/>
    <w:rsid w:val="007C24D2"/>
    <w:rsid w:val="007E2732"/>
    <w:rsid w:val="007E3B79"/>
    <w:rsid w:val="008066EE"/>
    <w:rsid w:val="00817BB6"/>
    <w:rsid w:val="00884D6C"/>
    <w:rsid w:val="00900256"/>
    <w:rsid w:val="00920F00"/>
    <w:rsid w:val="00935CE3"/>
    <w:rsid w:val="009373F6"/>
    <w:rsid w:val="00960F5B"/>
    <w:rsid w:val="00976588"/>
    <w:rsid w:val="009C661B"/>
    <w:rsid w:val="009E65C4"/>
    <w:rsid w:val="00A27CA7"/>
    <w:rsid w:val="00A3738E"/>
    <w:rsid w:val="00A71D0A"/>
    <w:rsid w:val="00A77F1E"/>
    <w:rsid w:val="00A847C4"/>
    <w:rsid w:val="00AB389D"/>
    <w:rsid w:val="00AF0DEA"/>
    <w:rsid w:val="00AF25E0"/>
    <w:rsid w:val="00AF464E"/>
    <w:rsid w:val="00B04290"/>
    <w:rsid w:val="00B80DEF"/>
    <w:rsid w:val="00B86BB5"/>
    <w:rsid w:val="00B91903"/>
    <w:rsid w:val="00BC4669"/>
    <w:rsid w:val="00C16EF1"/>
    <w:rsid w:val="00C248A1"/>
    <w:rsid w:val="00C26FE7"/>
    <w:rsid w:val="00C448D3"/>
    <w:rsid w:val="00C44E7D"/>
    <w:rsid w:val="00C977CA"/>
    <w:rsid w:val="00CC6395"/>
    <w:rsid w:val="00CF419F"/>
    <w:rsid w:val="00CF62E5"/>
    <w:rsid w:val="00D66D3A"/>
    <w:rsid w:val="00D743D4"/>
    <w:rsid w:val="00DB3D6C"/>
    <w:rsid w:val="00DE362D"/>
    <w:rsid w:val="00DF06C1"/>
    <w:rsid w:val="00E014B6"/>
    <w:rsid w:val="00E1162F"/>
    <w:rsid w:val="00E11D5F"/>
    <w:rsid w:val="00E20E1F"/>
    <w:rsid w:val="00E42F96"/>
    <w:rsid w:val="00E7118F"/>
    <w:rsid w:val="00E85EC1"/>
    <w:rsid w:val="00EE1346"/>
    <w:rsid w:val="00EF4424"/>
    <w:rsid w:val="00F27657"/>
    <w:rsid w:val="00F342DC"/>
    <w:rsid w:val="00F56F93"/>
    <w:rsid w:val="00F63041"/>
    <w:rsid w:val="00F63FCE"/>
    <w:rsid w:val="00F76452"/>
    <w:rsid w:val="00F765D6"/>
    <w:rsid w:val="00F831E2"/>
    <w:rsid w:val="00F83398"/>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CE360"/>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Funotentext">
    <w:name w:val="footnote text"/>
    <w:basedOn w:val="Standard"/>
    <w:link w:val="FunotentextZchn"/>
    <w:rsid w:val="00CC6395"/>
    <w:rPr>
      <w:sz w:val="20"/>
      <w:szCs w:val="20"/>
    </w:rPr>
  </w:style>
  <w:style w:type="character" w:customStyle="1" w:styleId="FunotentextZchn">
    <w:name w:val="Fußnotentext Zchn"/>
    <w:basedOn w:val="Absatz-Standardschriftart"/>
    <w:link w:val="Funotentext"/>
    <w:rsid w:val="00CC6395"/>
    <w:rPr>
      <w:sz w:val="20"/>
      <w:szCs w:val="20"/>
    </w:rPr>
  </w:style>
  <w:style w:type="character" w:styleId="Funotenzeichen">
    <w:name w:val="footnote reference"/>
    <w:basedOn w:val="Absatz-Standardschriftart"/>
    <w:rsid w:val="00CC63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400</Words>
  <Characters>3091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3</cp:revision>
  <cp:lastPrinted>2019-09-26T11:43:00Z</cp:lastPrinted>
  <dcterms:created xsi:type="dcterms:W3CDTF">2019-09-20T11:21:00Z</dcterms:created>
  <dcterms:modified xsi:type="dcterms:W3CDTF">2019-09-26T11:43:00Z</dcterms:modified>
</cp:coreProperties>
</file>