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F64990" w:rsidRDefault="003D7B0B" w:rsidP="00397717">
      <w:pPr>
        <w:jc w:val="right"/>
        <w:rPr>
          <w:rFonts w:cs="Arial"/>
        </w:rPr>
      </w:pPr>
      <w:r w:rsidRPr="00F64990">
        <w:rPr>
          <w:rFonts w:cs="Arial"/>
        </w:rPr>
        <w:t xml:space="preserve">Anlage </w:t>
      </w:r>
      <w:r w:rsidR="00D8075A">
        <w:rPr>
          <w:rFonts w:cs="Arial"/>
        </w:rPr>
        <w:t>14</w:t>
      </w:r>
      <w:r w:rsidRPr="00F64990">
        <w:rPr>
          <w:rFonts w:cs="Arial"/>
        </w:rPr>
        <w:t xml:space="preserve"> zur </w:t>
      </w:r>
      <w:proofErr w:type="spellStart"/>
      <w:r w:rsidRPr="00F64990">
        <w:rPr>
          <w:rFonts w:cs="Arial"/>
        </w:rPr>
        <w:t>GRDrs</w:t>
      </w:r>
      <w:proofErr w:type="spellEnd"/>
      <w:r w:rsidRPr="00F64990">
        <w:rPr>
          <w:rFonts w:cs="Arial"/>
        </w:rPr>
        <w:t xml:space="preserve"> </w:t>
      </w:r>
      <w:r w:rsidR="00AF1FA7">
        <w:rPr>
          <w:rFonts w:cs="Arial"/>
        </w:rPr>
        <w:t>890</w:t>
      </w:r>
      <w:r w:rsidR="005F5B3D" w:rsidRPr="00F64990">
        <w:rPr>
          <w:rFonts w:cs="Arial"/>
        </w:rPr>
        <w:t>/201</w:t>
      </w:r>
      <w:r w:rsidR="00AF25E0" w:rsidRPr="00F64990">
        <w:rPr>
          <w:rFonts w:cs="Arial"/>
        </w:rPr>
        <w:t>9</w:t>
      </w:r>
    </w:p>
    <w:p w:rsidR="003D7B0B" w:rsidRPr="00F64990" w:rsidRDefault="003D7B0B" w:rsidP="006E0575">
      <w:pPr>
        <w:rPr>
          <w:rFonts w:cs="Arial"/>
        </w:rPr>
      </w:pPr>
    </w:p>
    <w:p w:rsidR="003D7B0B" w:rsidRPr="00F64990" w:rsidRDefault="003D7B0B" w:rsidP="006E0575">
      <w:pPr>
        <w:rPr>
          <w:rFonts w:cs="Arial"/>
        </w:rPr>
      </w:pPr>
    </w:p>
    <w:p w:rsidR="00184EDC" w:rsidRPr="00F64990" w:rsidRDefault="003D7B0B" w:rsidP="00397717">
      <w:pPr>
        <w:jc w:val="center"/>
        <w:rPr>
          <w:rFonts w:cs="Arial"/>
          <w:b/>
        </w:rPr>
      </w:pPr>
      <w:r w:rsidRPr="00F64990">
        <w:rPr>
          <w:rFonts w:cs="Arial"/>
          <w:b/>
          <w:u w:val="single"/>
        </w:rPr>
        <w:t>Stellenschaffun</w:t>
      </w:r>
      <w:r w:rsidRPr="00F64990">
        <w:rPr>
          <w:rFonts w:cs="Arial"/>
          <w:b/>
        </w:rPr>
        <w:t>g</w:t>
      </w:r>
    </w:p>
    <w:p w:rsidR="003D7B0B" w:rsidRPr="00F64990" w:rsidRDefault="00184EDC" w:rsidP="00397717">
      <w:pPr>
        <w:jc w:val="center"/>
        <w:rPr>
          <w:rFonts w:cs="Arial"/>
          <w:b/>
          <w:u w:val="single"/>
        </w:rPr>
      </w:pPr>
      <w:r w:rsidRPr="00F64990">
        <w:rPr>
          <w:rFonts w:cs="Arial"/>
          <w:b/>
          <w:u w:val="single"/>
        </w:rPr>
        <w:t>zum Stellenplan 20</w:t>
      </w:r>
      <w:r w:rsidR="00DE362D" w:rsidRPr="00F64990">
        <w:rPr>
          <w:rFonts w:cs="Arial"/>
          <w:b/>
          <w:u w:val="single"/>
        </w:rPr>
        <w:t>2</w:t>
      </w:r>
      <w:r w:rsidR="00541188" w:rsidRPr="00F64990">
        <w:rPr>
          <w:rFonts w:cs="Arial"/>
          <w:b/>
          <w:u w:val="single"/>
        </w:rPr>
        <w:t>0</w:t>
      </w:r>
    </w:p>
    <w:p w:rsidR="003D7B0B" w:rsidRPr="00F64990" w:rsidRDefault="003D7B0B" w:rsidP="006E0575">
      <w:pPr>
        <w:rPr>
          <w:rFonts w:cs="Arial"/>
          <w:u w:val="single"/>
        </w:rPr>
      </w:pPr>
    </w:p>
    <w:p w:rsidR="00DE362D" w:rsidRPr="00F64990" w:rsidRDefault="00DE362D" w:rsidP="006E0575">
      <w:pPr>
        <w:rPr>
          <w:rFonts w:cs="Arial"/>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F64990" w:rsidTr="00DE362D">
        <w:trPr>
          <w:cantSplit/>
          <w:tblHeader/>
        </w:trPr>
        <w:tc>
          <w:tcPr>
            <w:tcW w:w="1814" w:type="dxa"/>
            <w:shd w:val="pct12" w:color="auto" w:fill="FFFFFF"/>
          </w:tcPr>
          <w:p w:rsidR="00DE362D" w:rsidRPr="00F64990" w:rsidRDefault="005F5B3D" w:rsidP="0030686C">
            <w:pPr>
              <w:spacing w:before="120" w:after="120" w:line="200" w:lineRule="exact"/>
              <w:ind w:right="-85"/>
              <w:rPr>
                <w:rFonts w:cs="Arial"/>
                <w:sz w:val="20"/>
                <w:szCs w:val="20"/>
              </w:rPr>
            </w:pPr>
            <w:r w:rsidRPr="00F64990">
              <w:rPr>
                <w:rFonts w:cs="Arial"/>
                <w:sz w:val="20"/>
                <w:szCs w:val="20"/>
              </w:rPr>
              <w:t>Org.-Einheit</w:t>
            </w:r>
            <w:r w:rsidR="00380937" w:rsidRPr="00F64990">
              <w:rPr>
                <w:rFonts w:cs="Arial"/>
                <w:sz w:val="20"/>
                <w:szCs w:val="20"/>
              </w:rPr>
              <w:t>,</w:t>
            </w:r>
          </w:p>
          <w:p w:rsidR="005F5B3D" w:rsidRPr="00F64990" w:rsidRDefault="005F5B3D" w:rsidP="0030686C">
            <w:pPr>
              <w:spacing w:before="120" w:after="120" w:line="200" w:lineRule="exact"/>
              <w:ind w:right="-85"/>
              <w:rPr>
                <w:rFonts w:cs="Arial"/>
                <w:sz w:val="20"/>
                <w:szCs w:val="20"/>
              </w:rPr>
            </w:pPr>
            <w:r w:rsidRPr="00F64990">
              <w:rPr>
                <w:rFonts w:cs="Arial"/>
                <w:sz w:val="20"/>
                <w:szCs w:val="20"/>
              </w:rPr>
              <w:t>Kostenstelle</w:t>
            </w:r>
          </w:p>
        </w:tc>
        <w:tc>
          <w:tcPr>
            <w:tcW w:w="1701" w:type="dxa"/>
            <w:shd w:val="pct12" w:color="auto" w:fill="FFFFFF"/>
          </w:tcPr>
          <w:p w:rsidR="005F5B3D" w:rsidRPr="00F64990" w:rsidRDefault="005F5B3D" w:rsidP="0030686C">
            <w:pPr>
              <w:spacing w:before="120" w:after="120" w:line="200" w:lineRule="exact"/>
              <w:ind w:right="-85"/>
              <w:rPr>
                <w:rFonts w:cs="Arial"/>
                <w:sz w:val="20"/>
                <w:szCs w:val="20"/>
              </w:rPr>
            </w:pPr>
            <w:r w:rsidRPr="00F64990">
              <w:rPr>
                <w:rFonts w:cs="Arial"/>
                <w:sz w:val="20"/>
                <w:szCs w:val="20"/>
              </w:rPr>
              <w:t>Amt</w:t>
            </w:r>
          </w:p>
        </w:tc>
        <w:tc>
          <w:tcPr>
            <w:tcW w:w="794" w:type="dxa"/>
            <w:shd w:val="pct12" w:color="auto" w:fill="FFFFFF"/>
          </w:tcPr>
          <w:p w:rsidR="00DE362D" w:rsidRPr="00F64990" w:rsidRDefault="00606F80" w:rsidP="0030686C">
            <w:pPr>
              <w:spacing w:before="120" w:after="120" w:line="200" w:lineRule="exact"/>
              <w:ind w:right="-85"/>
              <w:rPr>
                <w:rFonts w:cs="Arial"/>
                <w:sz w:val="20"/>
                <w:szCs w:val="20"/>
              </w:rPr>
            </w:pPr>
            <w:proofErr w:type="spellStart"/>
            <w:r w:rsidRPr="00F64990">
              <w:rPr>
                <w:rFonts w:cs="Arial"/>
                <w:sz w:val="20"/>
                <w:szCs w:val="20"/>
              </w:rPr>
              <w:t>BesGr</w:t>
            </w:r>
            <w:proofErr w:type="spellEnd"/>
            <w:r w:rsidRPr="00F64990">
              <w:rPr>
                <w:rFonts w:cs="Arial"/>
                <w:sz w:val="20"/>
                <w:szCs w:val="20"/>
              </w:rPr>
              <w:t>.</w:t>
            </w:r>
          </w:p>
          <w:p w:rsidR="00DE362D" w:rsidRPr="00F64990" w:rsidRDefault="00606F80" w:rsidP="0030686C">
            <w:pPr>
              <w:spacing w:before="120" w:after="120" w:line="200" w:lineRule="exact"/>
              <w:ind w:right="-85"/>
              <w:rPr>
                <w:rFonts w:cs="Arial"/>
                <w:sz w:val="20"/>
                <w:szCs w:val="20"/>
              </w:rPr>
            </w:pPr>
            <w:r w:rsidRPr="00F64990">
              <w:rPr>
                <w:rFonts w:cs="Arial"/>
                <w:sz w:val="20"/>
                <w:szCs w:val="20"/>
              </w:rPr>
              <w:t>oder</w:t>
            </w:r>
          </w:p>
          <w:p w:rsidR="00606F80" w:rsidRPr="00F64990" w:rsidRDefault="00606F80" w:rsidP="0030686C">
            <w:pPr>
              <w:spacing w:before="120" w:after="120" w:line="200" w:lineRule="exact"/>
              <w:ind w:right="-85"/>
              <w:rPr>
                <w:rFonts w:cs="Arial"/>
                <w:sz w:val="20"/>
                <w:szCs w:val="20"/>
              </w:rPr>
            </w:pPr>
            <w:r w:rsidRPr="00F64990">
              <w:rPr>
                <w:rFonts w:cs="Arial"/>
                <w:sz w:val="20"/>
                <w:szCs w:val="20"/>
              </w:rPr>
              <w:t>EG</w:t>
            </w:r>
          </w:p>
        </w:tc>
        <w:tc>
          <w:tcPr>
            <w:tcW w:w="1928" w:type="dxa"/>
            <w:shd w:val="pct12" w:color="auto" w:fill="FFFFFF"/>
          </w:tcPr>
          <w:p w:rsidR="005F5B3D" w:rsidRPr="00F64990" w:rsidRDefault="005F5B3D" w:rsidP="0030686C">
            <w:pPr>
              <w:spacing w:before="120" w:after="120" w:line="200" w:lineRule="exact"/>
              <w:ind w:right="-85"/>
              <w:rPr>
                <w:rFonts w:cs="Arial"/>
                <w:sz w:val="20"/>
                <w:szCs w:val="20"/>
              </w:rPr>
            </w:pPr>
            <w:r w:rsidRPr="00F64990">
              <w:rPr>
                <w:rFonts w:cs="Arial"/>
                <w:sz w:val="20"/>
                <w:szCs w:val="20"/>
              </w:rPr>
              <w:t>Funktions</w:t>
            </w:r>
            <w:r w:rsidR="00622CC7" w:rsidRPr="00F64990">
              <w:rPr>
                <w:rFonts w:cs="Arial"/>
                <w:sz w:val="20"/>
                <w:szCs w:val="20"/>
              </w:rPr>
              <w:t>-</w:t>
            </w:r>
            <w:r w:rsidR="00622CC7" w:rsidRPr="00F64990">
              <w:rPr>
                <w:rFonts w:cs="Arial"/>
                <w:sz w:val="20"/>
                <w:szCs w:val="20"/>
              </w:rPr>
              <w:br/>
            </w:r>
            <w:proofErr w:type="spellStart"/>
            <w:r w:rsidRPr="00F64990">
              <w:rPr>
                <w:rFonts w:cs="Arial"/>
                <w:sz w:val="20"/>
                <w:szCs w:val="20"/>
              </w:rPr>
              <w:t>bezeichnung</w:t>
            </w:r>
            <w:proofErr w:type="spellEnd"/>
          </w:p>
        </w:tc>
        <w:tc>
          <w:tcPr>
            <w:tcW w:w="737" w:type="dxa"/>
            <w:shd w:val="pct12" w:color="auto" w:fill="FFFFFF"/>
          </w:tcPr>
          <w:p w:rsidR="005F5B3D" w:rsidRPr="00F64990" w:rsidRDefault="005F5B3D" w:rsidP="0030686C">
            <w:pPr>
              <w:spacing w:before="120" w:after="120" w:line="200" w:lineRule="exact"/>
              <w:ind w:right="-85"/>
              <w:rPr>
                <w:rFonts w:cs="Arial"/>
                <w:sz w:val="20"/>
                <w:szCs w:val="20"/>
              </w:rPr>
            </w:pPr>
            <w:r w:rsidRPr="00F64990">
              <w:rPr>
                <w:rFonts w:cs="Arial"/>
                <w:sz w:val="20"/>
                <w:szCs w:val="20"/>
              </w:rPr>
              <w:t>Anzahl</w:t>
            </w:r>
            <w:r w:rsidRPr="00F64990">
              <w:rPr>
                <w:rFonts w:cs="Arial"/>
                <w:sz w:val="20"/>
                <w:szCs w:val="20"/>
              </w:rPr>
              <w:br/>
              <w:t>der</w:t>
            </w:r>
            <w:r w:rsidRPr="00F64990">
              <w:rPr>
                <w:rFonts w:cs="Arial"/>
                <w:sz w:val="20"/>
                <w:szCs w:val="20"/>
              </w:rPr>
              <w:br/>
              <w:t>Stellen</w:t>
            </w:r>
          </w:p>
        </w:tc>
        <w:tc>
          <w:tcPr>
            <w:tcW w:w="1134" w:type="dxa"/>
            <w:shd w:val="pct12" w:color="auto" w:fill="FFFFFF"/>
          </w:tcPr>
          <w:p w:rsidR="005F5B3D" w:rsidRPr="00F64990" w:rsidRDefault="005F5B3D" w:rsidP="0030686C">
            <w:pPr>
              <w:spacing w:before="120" w:after="120" w:line="200" w:lineRule="exact"/>
              <w:ind w:right="-85"/>
              <w:rPr>
                <w:rFonts w:cs="Arial"/>
                <w:sz w:val="20"/>
                <w:szCs w:val="20"/>
              </w:rPr>
            </w:pPr>
            <w:r w:rsidRPr="00F64990">
              <w:rPr>
                <w:rFonts w:cs="Arial"/>
                <w:sz w:val="20"/>
                <w:szCs w:val="20"/>
              </w:rPr>
              <w:t>Stellen-</w:t>
            </w:r>
            <w:r w:rsidRPr="00F64990">
              <w:rPr>
                <w:rFonts w:cs="Arial"/>
                <w:sz w:val="20"/>
                <w:szCs w:val="20"/>
              </w:rPr>
              <w:br/>
              <w:t>vermerk</w:t>
            </w:r>
          </w:p>
        </w:tc>
        <w:tc>
          <w:tcPr>
            <w:tcW w:w="1417" w:type="dxa"/>
            <w:shd w:val="pct12" w:color="auto" w:fill="FFFFFF"/>
          </w:tcPr>
          <w:p w:rsidR="005F5B3D" w:rsidRPr="00F64990" w:rsidRDefault="005F5B3D" w:rsidP="0030686C">
            <w:pPr>
              <w:spacing w:before="120" w:after="120" w:line="200" w:lineRule="exact"/>
              <w:ind w:right="-85"/>
              <w:rPr>
                <w:rFonts w:cs="Arial"/>
                <w:sz w:val="20"/>
                <w:szCs w:val="20"/>
              </w:rPr>
            </w:pPr>
            <w:proofErr w:type="spellStart"/>
            <w:r w:rsidRPr="00F64990">
              <w:rPr>
                <w:rFonts w:cs="Arial"/>
                <w:sz w:val="20"/>
                <w:szCs w:val="20"/>
              </w:rPr>
              <w:t>durchschnittl</w:t>
            </w:r>
            <w:proofErr w:type="spellEnd"/>
            <w:r w:rsidRPr="00F64990">
              <w:rPr>
                <w:rFonts w:cs="Arial"/>
                <w:sz w:val="20"/>
                <w:szCs w:val="20"/>
              </w:rPr>
              <w:t>.</w:t>
            </w:r>
            <w:r w:rsidRPr="00F64990">
              <w:rPr>
                <w:rFonts w:cs="Arial"/>
                <w:sz w:val="20"/>
                <w:szCs w:val="20"/>
              </w:rPr>
              <w:br/>
            </w:r>
            <w:proofErr w:type="spellStart"/>
            <w:r w:rsidRPr="00F64990">
              <w:rPr>
                <w:rFonts w:cs="Arial"/>
                <w:sz w:val="20"/>
                <w:szCs w:val="20"/>
              </w:rPr>
              <w:t>jährl</w:t>
            </w:r>
            <w:proofErr w:type="spellEnd"/>
            <w:r w:rsidRPr="00F64990">
              <w:rPr>
                <w:rFonts w:cs="Arial"/>
                <w:sz w:val="20"/>
                <w:szCs w:val="20"/>
              </w:rPr>
              <w:t>. kosten-</w:t>
            </w:r>
            <w:r w:rsidRPr="00F64990">
              <w:rPr>
                <w:rFonts w:cs="Arial"/>
                <w:sz w:val="20"/>
                <w:szCs w:val="20"/>
              </w:rPr>
              <w:br/>
              <w:t>wirksamer</w:t>
            </w:r>
            <w:r w:rsidR="00DE362D" w:rsidRPr="00F64990">
              <w:rPr>
                <w:rFonts w:cs="Arial"/>
                <w:sz w:val="20"/>
                <w:szCs w:val="20"/>
              </w:rPr>
              <w:t xml:space="preserve"> </w:t>
            </w:r>
            <w:r w:rsidRPr="00F64990">
              <w:rPr>
                <w:rFonts w:cs="Arial"/>
                <w:sz w:val="20"/>
                <w:szCs w:val="20"/>
              </w:rPr>
              <w:br/>
              <w:t>Aufwand</w:t>
            </w:r>
            <w:r w:rsidR="0030686C" w:rsidRPr="00F64990">
              <w:rPr>
                <w:rFonts w:cs="Arial"/>
                <w:sz w:val="20"/>
                <w:szCs w:val="20"/>
              </w:rPr>
              <w:t xml:space="preserve"> </w:t>
            </w:r>
            <w:r w:rsidRPr="00F64990">
              <w:rPr>
                <w:rFonts w:cs="Arial"/>
                <w:sz w:val="20"/>
                <w:szCs w:val="20"/>
              </w:rPr>
              <w:br/>
            </w:r>
            <w:r w:rsidR="003F0FAA" w:rsidRPr="00F64990">
              <w:rPr>
                <w:rFonts w:cs="Arial"/>
                <w:sz w:val="20"/>
                <w:szCs w:val="20"/>
              </w:rPr>
              <w:t xml:space="preserve">in </w:t>
            </w:r>
            <w:r w:rsidRPr="00F64990">
              <w:rPr>
                <w:rFonts w:cs="Arial"/>
                <w:sz w:val="20"/>
                <w:szCs w:val="20"/>
              </w:rPr>
              <w:t>Euro</w:t>
            </w:r>
          </w:p>
        </w:tc>
      </w:tr>
      <w:tr w:rsidR="005F5B3D" w:rsidRPr="00F64990" w:rsidTr="00DE362D">
        <w:tc>
          <w:tcPr>
            <w:tcW w:w="1814" w:type="dxa"/>
          </w:tcPr>
          <w:p w:rsidR="00AF1FA7" w:rsidRDefault="00AF1FA7" w:rsidP="00055ACB">
            <w:pPr>
              <w:rPr>
                <w:rFonts w:cs="Arial"/>
                <w:sz w:val="20"/>
                <w:szCs w:val="20"/>
              </w:rPr>
            </w:pPr>
          </w:p>
          <w:p w:rsidR="00AF1FA7" w:rsidRPr="00144E73" w:rsidRDefault="00144E73" w:rsidP="00055ACB">
            <w:pPr>
              <w:rPr>
                <w:rFonts w:cs="Arial"/>
                <w:sz w:val="20"/>
                <w:szCs w:val="20"/>
              </w:rPr>
            </w:pPr>
            <w:r>
              <w:rPr>
                <w:rFonts w:cs="Arial"/>
                <w:sz w:val="20"/>
                <w:szCs w:val="20"/>
              </w:rPr>
              <w:t>66-8</w:t>
            </w:r>
            <w:r>
              <w:rPr>
                <w:rFonts w:cs="Arial"/>
                <w:sz w:val="20"/>
                <w:szCs w:val="20"/>
              </w:rPr>
              <w:br/>
              <w:t>66081100</w:t>
            </w:r>
          </w:p>
          <w:p w:rsidR="00AF1FA7" w:rsidRDefault="00AF1FA7" w:rsidP="00055ACB">
            <w:pPr>
              <w:rPr>
                <w:rFonts w:cs="Arial"/>
                <w:sz w:val="20"/>
                <w:szCs w:val="20"/>
              </w:rPr>
            </w:pPr>
          </w:p>
          <w:p w:rsidR="00996B48" w:rsidRPr="00144E73" w:rsidRDefault="00996B48" w:rsidP="00055ACB">
            <w:pPr>
              <w:rPr>
                <w:rFonts w:cs="Arial"/>
                <w:sz w:val="20"/>
                <w:szCs w:val="20"/>
              </w:rPr>
            </w:pPr>
            <w:r w:rsidRPr="00144E73">
              <w:rPr>
                <w:rFonts w:cs="Arial"/>
                <w:sz w:val="20"/>
                <w:szCs w:val="20"/>
              </w:rPr>
              <w:t>66-9</w:t>
            </w:r>
          </w:p>
          <w:p w:rsidR="005F5B3D" w:rsidRPr="00F64990" w:rsidRDefault="00144E73" w:rsidP="00144E73">
            <w:pPr>
              <w:rPr>
                <w:rFonts w:cs="Arial"/>
                <w:sz w:val="20"/>
                <w:szCs w:val="20"/>
              </w:rPr>
            </w:pPr>
            <w:r>
              <w:rPr>
                <w:rFonts w:cs="Arial"/>
                <w:sz w:val="20"/>
                <w:szCs w:val="20"/>
              </w:rPr>
              <w:t>66091100</w:t>
            </w:r>
          </w:p>
        </w:tc>
        <w:tc>
          <w:tcPr>
            <w:tcW w:w="1701" w:type="dxa"/>
          </w:tcPr>
          <w:p w:rsidR="00FE55C5" w:rsidRDefault="00FE55C5" w:rsidP="00FE55C5">
            <w:pPr>
              <w:ind w:right="-57"/>
              <w:rPr>
                <w:rFonts w:cs="Arial"/>
                <w:sz w:val="20"/>
                <w:szCs w:val="20"/>
              </w:rPr>
            </w:pPr>
          </w:p>
          <w:p w:rsidR="005F5B3D" w:rsidRPr="00F64990" w:rsidRDefault="00996B48" w:rsidP="00FE55C5">
            <w:pPr>
              <w:ind w:right="-57"/>
              <w:rPr>
                <w:rFonts w:cs="Arial"/>
                <w:sz w:val="20"/>
                <w:szCs w:val="20"/>
              </w:rPr>
            </w:pPr>
            <w:r>
              <w:rPr>
                <w:rFonts w:cs="Arial"/>
                <w:sz w:val="20"/>
                <w:szCs w:val="20"/>
              </w:rPr>
              <w:t>Tiefbauamt</w:t>
            </w:r>
          </w:p>
        </w:tc>
        <w:tc>
          <w:tcPr>
            <w:tcW w:w="794" w:type="dxa"/>
          </w:tcPr>
          <w:p w:rsidR="00996B48" w:rsidRDefault="00996B48" w:rsidP="0030686C">
            <w:pPr>
              <w:rPr>
                <w:rFonts w:cs="Arial"/>
                <w:sz w:val="20"/>
                <w:szCs w:val="20"/>
              </w:rPr>
            </w:pPr>
          </w:p>
          <w:p w:rsidR="00996B48" w:rsidRDefault="00996B48" w:rsidP="0030686C">
            <w:pPr>
              <w:rPr>
                <w:rFonts w:cs="Arial"/>
                <w:sz w:val="20"/>
                <w:szCs w:val="20"/>
              </w:rPr>
            </w:pPr>
            <w:r>
              <w:rPr>
                <w:rFonts w:cs="Arial"/>
                <w:sz w:val="20"/>
                <w:szCs w:val="20"/>
              </w:rPr>
              <w:t>EG 12</w:t>
            </w:r>
          </w:p>
          <w:p w:rsidR="00996B48" w:rsidRDefault="00996B48" w:rsidP="0030686C">
            <w:pPr>
              <w:rPr>
                <w:rFonts w:cs="Arial"/>
                <w:sz w:val="20"/>
                <w:szCs w:val="20"/>
              </w:rPr>
            </w:pPr>
          </w:p>
          <w:p w:rsidR="00996B48" w:rsidRPr="00F64990" w:rsidRDefault="00996B48" w:rsidP="0030686C">
            <w:pPr>
              <w:rPr>
                <w:rFonts w:cs="Arial"/>
                <w:sz w:val="20"/>
                <w:szCs w:val="20"/>
              </w:rPr>
            </w:pPr>
          </w:p>
        </w:tc>
        <w:tc>
          <w:tcPr>
            <w:tcW w:w="1928" w:type="dxa"/>
          </w:tcPr>
          <w:p w:rsidR="005A0AA3" w:rsidRDefault="005A0AA3" w:rsidP="005A4DC7">
            <w:pPr>
              <w:jc w:val="center"/>
              <w:rPr>
                <w:rFonts w:cs="Arial"/>
                <w:sz w:val="20"/>
                <w:szCs w:val="20"/>
              </w:rPr>
            </w:pPr>
          </w:p>
          <w:p w:rsidR="00996B48" w:rsidRPr="00F64990" w:rsidRDefault="00996B48" w:rsidP="00AF1FA7">
            <w:pPr>
              <w:jc w:val="center"/>
              <w:rPr>
                <w:rFonts w:cs="Arial"/>
                <w:sz w:val="20"/>
                <w:szCs w:val="20"/>
              </w:rPr>
            </w:pPr>
            <w:r>
              <w:rPr>
                <w:rFonts w:cs="Arial"/>
                <w:sz w:val="20"/>
                <w:szCs w:val="20"/>
              </w:rPr>
              <w:t>Ingenieur</w:t>
            </w:r>
            <w:r w:rsidR="00AF1FA7">
              <w:rPr>
                <w:rFonts w:cs="Arial"/>
                <w:sz w:val="20"/>
                <w:szCs w:val="20"/>
              </w:rPr>
              <w:t>/-</w:t>
            </w:r>
            <w:r>
              <w:rPr>
                <w:rFonts w:cs="Arial"/>
                <w:sz w:val="20"/>
                <w:szCs w:val="20"/>
              </w:rPr>
              <w:t>in</w:t>
            </w:r>
          </w:p>
        </w:tc>
        <w:tc>
          <w:tcPr>
            <w:tcW w:w="737" w:type="dxa"/>
            <w:shd w:val="pct12" w:color="auto" w:fill="FFFFFF"/>
          </w:tcPr>
          <w:p w:rsidR="005A0AA3" w:rsidRDefault="005A0AA3" w:rsidP="007173D0">
            <w:pPr>
              <w:jc w:val="center"/>
              <w:rPr>
                <w:rFonts w:cs="Arial"/>
                <w:sz w:val="20"/>
                <w:szCs w:val="20"/>
              </w:rPr>
            </w:pPr>
          </w:p>
          <w:p w:rsidR="00996B48" w:rsidRPr="00F64990" w:rsidRDefault="00996B48" w:rsidP="007173D0">
            <w:pPr>
              <w:jc w:val="center"/>
              <w:rPr>
                <w:rFonts w:cs="Arial"/>
                <w:sz w:val="20"/>
                <w:szCs w:val="20"/>
              </w:rPr>
            </w:pPr>
            <w:r>
              <w:rPr>
                <w:rFonts w:cs="Arial"/>
                <w:sz w:val="20"/>
                <w:szCs w:val="20"/>
              </w:rPr>
              <w:t>2,0</w:t>
            </w:r>
          </w:p>
        </w:tc>
        <w:tc>
          <w:tcPr>
            <w:tcW w:w="1134" w:type="dxa"/>
          </w:tcPr>
          <w:p w:rsidR="00AF1FA7" w:rsidRDefault="00AF1FA7" w:rsidP="005A4DC7">
            <w:pPr>
              <w:jc w:val="center"/>
              <w:rPr>
                <w:rFonts w:cs="Arial"/>
                <w:sz w:val="20"/>
                <w:szCs w:val="20"/>
              </w:rPr>
            </w:pPr>
          </w:p>
          <w:p w:rsidR="005F5B3D" w:rsidRDefault="00AF1FA7" w:rsidP="005A4DC7">
            <w:pPr>
              <w:jc w:val="center"/>
              <w:rPr>
                <w:rFonts w:cs="Arial"/>
                <w:sz w:val="20"/>
                <w:szCs w:val="20"/>
              </w:rPr>
            </w:pPr>
            <w:r>
              <w:rPr>
                <w:rFonts w:cs="Arial"/>
                <w:sz w:val="20"/>
                <w:szCs w:val="20"/>
              </w:rPr>
              <w:t>KW 01/2024</w:t>
            </w:r>
          </w:p>
          <w:p w:rsidR="00996B48" w:rsidRDefault="00996B48" w:rsidP="005A4DC7">
            <w:pPr>
              <w:jc w:val="center"/>
              <w:rPr>
                <w:rFonts w:cs="Arial"/>
                <w:sz w:val="20"/>
                <w:szCs w:val="20"/>
              </w:rPr>
            </w:pPr>
          </w:p>
          <w:p w:rsidR="00996B48" w:rsidRDefault="00996B48" w:rsidP="005A4DC7">
            <w:pPr>
              <w:jc w:val="center"/>
              <w:rPr>
                <w:rFonts w:cs="Arial"/>
                <w:sz w:val="20"/>
                <w:szCs w:val="20"/>
              </w:rPr>
            </w:pPr>
          </w:p>
          <w:p w:rsidR="00996B48" w:rsidRPr="00F64990" w:rsidRDefault="00996B48" w:rsidP="005A4DC7">
            <w:pPr>
              <w:jc w:val="center"/>
              <w:rPr>
                <w:rFonts w:cs="Arial"/>
                <w:sz w:val="20"/>
                <w:szCs w:val="20"/>
              </w:rPr>
            </w:pPr>
          </w:p>
        </w:tc>
        <w:tc>
          <w:tcPr>
            <w:tcW w:w="1417" w:type="dxa"/>
          </w:tcPr>
          <w:p w:rsidR="00996B48" w:rsidRDefault="00996B48" w:rsidP="00AF1FA7">
            <w:pPr>
              <w:jc w:val="center"/>
              <w:rPr>
                <w:rFonts w:cs="Arial"/>
                <w:sz w:val="20"/>
                <w:szCs w:val="20"/>
              </w:rPr>
            </w:pPr>
          </w:p>
          <w:p w:rsidR="00D8075A" w:rsidRDefault="00D8075A" w:rsidP="00D8075A">
            <w:pPr>
              <w:jc w:val="right"/>
              <w:rPr>
                <w:rFonts w:cs="Arial"/>
                <w:sz w:val="20"/>
                <w:szCs w:val="20"/>
              </w:rPr>
            </w:pPr>
            <w:r>
              <w:rPr>
                <w:rFonts w:cs="Arial"/>
                <w:sz w:val="20"/>
                <w:szCs w:val="20"/>
              </w:rPr>
              <w:t>(171.600)</w:t>
            </w:r>
          </w:p>
          <w:p w:rsidR="00D8075A" w:rsidRPr="00F64990" w:rsidRDefault="00D8075A" w:rsidP="00D8075A">
            <w:pPr>
              <w:jc w:val="right"/>
              <w:rPr>
                <w:rFonts w:cs="Arial"/>
                <w:sz w:val="20"/>
                <w:szCs w:val="20"/>
              </w:rPr>
            </w:pPr>
            <w:r>
              <w:rPr>
                <w:rFonts w:cs="Arial"/>
                <w:sz w:val="20"/>
                <w:szCs w:val="20"/>
              </w:rPr>
              <w:t>finanziert</w:t>
            </w:r>
          </w:p>
        </w:tc>
      </w:tr>
    </w:tbl>
    <w:p w:rsidR="003D7B0B" w:rsidRPr="00F64990" w:rsidRDefault="006E0575" w:rsidP="00D630C4">
      <w:pPr>
        <w:pStyle w:val="berschrift1"/>
        <w:rPr>
          <w:rFonts w:cs="Arial"/>
        </w:rPr>
      </w:pPr>
      <w:r w:rsidRPr="00F64990">
        <w:rPr>
          <w:rFonts w:cs="Arial"/>
        </w:rPr>
        <w:t>1</w:t>
      </w:r>
      <w:r w:rsidR="00884D6C" w:rsidRPr="00F64990">
        <w:rPr>
          <w:rFonts w:cs="Arial"/>
        </w:rPr>
        <w:tab/>
      </w:r>
      <w:r w:rsidR="003D7B0B" w:rsidRPr="00F64990">
        <w:rPr>
          <w:rFonts w:cs="Arial"/>
        </w:rPr>
        <w:t>Antra</w:t>
      </w:r>
      <w:r w:rsidR="003D7B0B" w:rsidRPr="00F64990">
        <w:rPr>
          <w:rFonts w:cs="Arial"/>
          <w:u w:val="none"/>
        </w:rPr>
        <w:t>g</w:t>
      </w:r>
      <w:r w:rsidR="003D7B0B" w:rsidRPr="00F64990">
        <w:rPr>
          <w:rFonts w:cs="Arial"/>
        </w:rPr>
        <w:t>, Stellenausstattun</w:t>
      </w:r>
      <w:r w:rsidR="003D7B0B" w:rsidRPr="00F64990">
        <w:rPr>
          <w:rFonts w:cs="Arial"/>
          <w:u w:val="none"/>
        </w:rPr>
        <w:t>g</w:t>
      </w:r>
    </w:p>
    <w:p w:rsidR="00E5060E" w:rsidRPr="00F64990" w:rsidRDefault="005A4DC7" w:rsidP="00D630C4">
      <w:pPr>
        <w:spacing w:before="120" w:after="120"/>
        <w:rPr>
          <w:rFonts w:cs="Arial"/>
        </w:rPr>
      </w:pPr>
      <w:r w:rsidRPr="00F64990">
        <w:rPr>
          <w:rFonts w:cs="Arial"/>
        </w:rPr>
        <w:t>Beantragt wird die</w:t>
      </w:r>
      <w:r w:rsidR="00BD4A03">
        <w:rPr>
          <w:rFonts w:cs="Arial"/>
        </w:rPr>
        <w:t xml:space="preserve">, </w:t>
      </w:r>
      <w:r w:rsidR="00FE55C5">
        <w:rPr>
          <w:rFonts w:cs="Arial"/>
        </w:rPr>
        <w:t xml:space="preserve">zunächst </w:t>
      </w:r>
      <w:r w:rsidR="00BD4A03">
        <w:rPr>
          <w:rFonts w:cs="Arial"/>
        </w:rPr>
        <w:t xml:space="preserve">auf </w:t>
      </w:r>
      <w:r w:rsidR="00FE55C5">
        <w:rPr>
          <w:rFonts w:cs="Arial"/>
        </w:rPr>
        <w:t xml:space="preserve">31.12.2023 befristete </w:t>
      </w:r>
      <w:r w:rsidRPr="00F64990">
        <w:rPr>
          <w:rFonts w:cs="Arial"/>
        </w:rPr>
        <w:t xml:space="preserve">Schaffung </w:t>
      </w:r>
      <w:r w:rsidR="00996B48">
        <w:rPr>
          <w:rFonts w:cs="Arial"/>
        </w:rPr>
        <w:t xml:space="preserve">von </w:t>
      </w:r>
      <w:r w:rsidR="00FE55C5">
        <w:rPr>
          <w:rFonts w:cs="Arial"/>
        </w:rPr>
        <w:t>2,0</w:t>
      </w:r>
      <w:r w:rsidR="007173D0" w:rsidRPr="00F64990">
        <w:rPr>
          <w:rFonts w:cs="Arial"/>
        </w:rPr>
        <w:t xml:space="preserve"> </w:t>
      </w:r>
      <w:r w:rsidR="00FE55C5">
        <w:rPr>
          <w:rFonts w:cs="Arial"/>
        </w:rPr>
        <w:t>Stellen für Ingenieure (m/w/d) in EG 12 TVöD beim</w:t>
      </w:r>
      <w:r w:rsidR="00A92E4F">
        <w:rPr>
          <w:rFonts w:cs="Arial"/>
        </w:rPr>
        <w:t xml:space="preserve"> Tiefbauamt. Diese werden</w:t>
      </w:r>
      <w:r w:rsidR="00FE55C5">
        <w:rPr>
          <w:rFonts w:cs="Arial"/>
        </w:rPr>
        <w:t xml:space="preserve"> </w:t>
      </w:r>
      <w:r w:rsidR="00B55B65">
        <w:rPr>
          <w:rFonts w:cs="Arial"/>
        </w:rPr>
        <w:t xml:space="preserve">insbesondere zum beschleunigten Ausbau der Radrouten </w:t>
      </w:r>
      <w:r w:rsidR="00A92E4F">
        <w:rPr>
          <w:rFonts w:cs="Arial"/>
        </w:rPr>
        <w:t>im Zuge der</w:t>
      </w:r>
      <w:r w:rsidR="00FE55C5">
        <w:rPr>
          <w:rFonts w:cs="Arial"/>
        </w:rPr>
        <w:t xml:space="preserve"> </w:t>
      </w:r>
      <w:r w:rsidR="00A92E4F">
        <w:rPr>
          <w:rFonts w:cs="Arial"/>
        </w:rPr>
        <w:t>„Offensive</w:t>
      </w:r>
      <w:r w:rsidR="00FE55C5">
        <w:rPr>
          <w:rFonts w:cs="Arial"/>
        </w:rPr>
        <w:t xml:space="preserve"> Rad</w:t>
      </w:r>
      <w:r w:rsidR="00A92E4F">
        <w:rPr>
          <w:rFonts w:cs="Arial"/>
        </w:rPr>
        <w:t>verkehr“</w:t>
      </w:r>
      <w:r w:rsidR="00FE55C5">
        <w:rPr>
          <w:rFonts w:cs="Arial"/>
        </w:rPr>
        <w:t xml:space="preserve"> </w:t>
      </w:r>
      <w:r w:rsidR="00A92E4F">
        <w:rPr>
          <w:rFonts w:cs="Arial"/>
        </w:rPr>
        <w:t>für die beiden</w:t>
      </w:r>
      <w:r w:rsidR="00FE55C5">
        <w:rPr>
          <w:rFonts w:cs="Arial"/>
        </w:rPr>
        <w:t xml:space="preserve"> Bauabteilungen</w:t>
      </w:r>
      <w:r w:rsidR="00055ACB" w:rsidRPr="00F64990">
        <w:rPr>
          <w:rFonts w:cs="Arial"/>
        </w:rPr>
        <w:t xml:space="preserve"> </w:t>
      </w:r>
      <w:r w:rsidR="00A92E4F">
        <w:rPr>
          <w:rFonts w:cs="Arial"/>
        </w:rPr>
        <w:t>benötigt</w:t>
      </w:r>
      <w:r w:rsidR="00FE55C5">
        <w:rPr>
          <w:rFonts w:cs="Arial"/>
        </w:rPr>
        <w:t>. Dabei wird der Bauabteilung Mitte/Nord (66-8) und der Bauabteilung Neckar/</w:t>
      </w:r>
      <w:proofErr w:type="spellStart"/>
      <w:r w:rsidR="00FE55C5">
        <w:rPr>
          <w:rFonts w:cs="Arial"/>
        </w:rPr>
        <w:t>Filder</w:t>
      </w:r>
      <w:proofErr w:type="spellEnd"/>
      <w:r w:rsidR="00FE55C5">
        <w:rPr>
          <w:rFonts w:cs="Arial"/>
        </w:rPr>
        <w:t xml:space="preserve"> </w:t>
      </w:r>
      <w:r w:rsidR="00BD4A03">
        <w:rPr>
          <w:rFonts w:cs="Arial"/>
        </w:rPr>
        <w:t xml:space="preserve">(66-9) </w:t>
      </w:r>
      <w:r w:rsidR="00FE55C5">
        <w:rPr>
          <w:rFonts w:cs="Arial"/>
        </w:rPr>
        <w:t>jeweils eine Stelle zugeordnet.</w:t>
      </w:r>
    </w:p>
    <w:p w:rsidR="00996B48" w:rsidRDefault="00A92E4F" w:rsidP="00D630C4">
      <w:pPr>
        <w:rPr>
          <w:rFonts w:cs="Arial"/>
        </w:rPr>
      </w:pPr>
      <w:r>
        <w:rPr>
          <w:rFonts w:cs="Arial"/>
        </w:rPr>
        <w:t xml:space="preserve">Die beiden Stellen dürfen </w:t>
      </w:r>
      <w:r w:rsidR="00B55B65">
        <w:rPr>
          <w:rFonts w:cs="Arial"/>
        </w:rPr>
        <w:t>unbefristet besetzt werden, da dies im Sinne der Personalgewinnung und –</w:t>
      </w:r>
      <w:proofErr w:type="spellStart"/>
      <w:r w:rsidR="00B55B65">
        <w:rPr>
          <w:rFonts w:cs="Arial"/>
        </w:rPr>
        <w:t>erhaltung</w:t>
      </w:r>
      <w:proofErr w:type="spellEnd"/>
      <w:r w:rsidR="00B55B65">
        <w:rPr>
          <w:rFonts w:cs="Arial"/>
        </w:rPr>
        <w:t xml:space="preserve"> geboten ist.</w:t>
      </w:r>
    </w:p>
    <w:p w:rsidR="003D7B0B" w:rsidRPr="00F64990" w:rsidRDefault="003D7B0B" w:rsidP="00D630C4">
      <w:pPr>
        <w:pStyle w:val="berschrift1"/>
        <w:rPr>
          <w:rFonts w:cs="Arial"/>
        </w:rPr>
      </w:pPr>
      <w:r w:rsidRPr="00F64990">
        <w:rPr>
          <w:rFonts w:cs="Arial"/>
        </w:rPr>
        <w:t>2</w:t>
      </w:r>
      <w:r w:rsidRPr="00F64990">
        <w:rPr>
          <w:rFonts w:cs="Arial"/>
        </w:rPr>
        <w:tab/>
        <w:t>Schaffun</w:t>
      </w:r>
      <w:r w:rsidRPr="00F64990">
        <w:rPr>
          <w:rFonts w:cs="Arial"/>
          <w:u w:val="none"/>
        </w:rPr>
        <w:t>g</w:t>
      </w:r>
      <w:r w:rsidRPr="00F64990">
        <w:rPr>
          <w:rFonts w:cs="Arial"/>
        </w:rPr>
        <w:t>skriterien</w:t>
      </w:r>
    </w:p>
    <w:p w:rsidR="00BD4A03" w:rsidRDefault="00BD4A03" w:rsidP="00BD4A03"/>
    <w:p w:rsidR="00BD4A03" w:rsidRDefault="00BD4A03" w:rsidP="00BD4A03">
      <w:pPr>
        <w:rPr>
          <w:rFonts w:cs="Arial"/>
        </w:rPr>
      </w:pPr>
      <w:r>
        <w:t>Die</w:t>
      </w:r>
      <w:r>
        <w:rPr>
          <w:rFonts w:cs="Arial"/>
        </w:rPr>
        <w:t xml:space="preserve"> Stellenschaffungen sind in der „Grünen Liste“ zum Haushalt 2020 enthalten. Sie sind Teil des Haushaltspakets „nachhaltig mobil in Stuttgart“</w:t>
      </w:r>
      <w:r w:rsidR="00B55B65">
        <w:rPr>
          <w:rFonts w:cs="Arial"/>
        </w:rPr>
        <w:t xml:space="preserve"> und</w:t>
      </w:r>
      <w:r w:rsidR="00A92E4F">
        <w:rPr>
          <w:rFonts w:cs="Arial"/>
        </w:rPr>
        <w:t xml:space="preserve"> aus der „davon Position Radinfrastruktur</w:t>
      </w:r>
      <w:r w:rsidR="00B55B65">
        <w:rPr>
          <w:rFonts w:cs="Arial"/>
        </w:rPr>
        <w:t>“</w:t>
      </w:r>
      <w:r w:rsidR="00D8075A">
        <w:rPr>
          <w:rFonts w:cs="Arial"/>
        </w:rPr>
        <w:t xml:space="preserve"> finanziert</w:t>
      </w:r>
      <w:r w:rsidR="00B55B65">
        <w:rPr>
          <w:rFonts w:cs="Arial"/>
        </w:rPr>
        <w:t>.</w:t>
      </w:r>
    </w:p>
    <w:p w:rsidR="003D7B0B" w:rsidRPr="00F64990" w:rsidRDefault="003D7B0B" w:rsidP="00D630C4">
      <w:pPr>
        <w:pStyle w:val="berschrift1"/>
        <w:rPr>
          <w:rFonts w:cs="Arial"/>
        </w:rPr>
      </w:pPr>
      <w:r w:rsidRPr="00F64990">
        <w:rPr>
          <w:rFonts w:cs="Arial"/>
        </w:rPr>
        <w:t>3</w:t>
      </w:r>
      <w:r w:rsidRPr="00F64990">
        <w:rPr>
          <w:rFonts w:cs="Arial"/>
        </w:rPr>
        <w:tab/>
        <w:t>Bedarf</w:t>
      </w:r>
    </w:p>
    <w:p w:rsidR="003D7B0B" w:rsidRPr="00F64990" w:rsidRDefault="00884D6C" w:rsidP="00D630C4">
      <w:pPr>
        <w:pStyle w:val="berschrift2"/>
        <w:rPr>
          <w:rFonts w:cs="Arial"/>
        </w:rPr>
      </w:pPr>
      <w:r w:rsidRPr="00F64990">
        <w:rPr>
          <w:rFonts w:cs="Arial"/>
        </w:rPr>
        <w:t>3.1</w:t>
      </w:r>
      <w:r w:rsidRPr="00F64990">
        <w:rPr>
          <w:rFonts w:cs="Arial"/>
        </w:rPr>
        <w:tab/>
      </w:r>
      <w:r w:rsidR="006E0575" w:rsidRPr="00F64990">
        <w:rPr>
          <w:rFonts w:cs="Arial"/>
        </w:rPr>
        <w:t>Anlass</w:t>
      </w:r>
    </w:p>
    <w:p w:rsidR="00F434F2" w:rsidRPr="00F64990" w:rsidRDefault="00F434F2" w:rsidP="00D630C4">
      <w:pPr>
        <w:ind w:left="142" w:hanging="142"/>
        <w:rPr>
          <w:rFonts w:cs="Arial"/>
        </w:rPr>
      </w:pPr>
    </w:p>
    <w:p w:rsidR="000D0D44" w:rsidRPr="00F64990" w:rsidRDefault="000D0D44" w:rsidP="00D630C4">
      <w:pPr>
        <w:pStyle w:val="Fint"/>
        <w:rPr>
          <w:rFonts w:cs="Arial"/>
          <w:szCs w:val="24"/>
        </w:rPr>
      </w:pPr>
      <w:r w:rsidRPr="00F64990">
        <w:rPr>
          <w:rFonts w:cs="Arial"/>
          <w:szCs w:val="24"/>
        </w:rPr>
        <w:t xml:space="preserve">Mit der </w:t>
      </w:r>
      <w:proofErr w:type="spellStart"/>
      <w:r w:rsidRPr="00F64990">
        <w:rPr>
          <w:rFonts w:cs="Arial"/>
          <w:szCs w:val="24"/>
        </w:rPr>
        <w:t>GRDrs</w:t>
      </w:r>
      <w:proofErr w:type="spellEnd"/>
      <w:r w:rsidR="00B55B65">
        <w:rPr>
          <w:rFonts w:cs="Arial"/>
          <w:szCs w:val="24"/>
        </w:rPr>
        <w:t>.</w:t>
      </w:r>
      <w:r w:rsidRPr="00F64990">
        <w:rPr>
          <w:rFonts w:cs="Arial"/>
          <w:szCs w:val="24"/>
        </w:rPr>
        <w:t xml:space="preserve"> 1120/2018 </w:t>
      </w:r>
      <w:r w:rsidR="00420B80">
        <w:rPr>
          <w:rFonts w:cs="Arial"/>
          <w:szCs w:val="24"/>
        </w:rPr>
        <w:t xml:space="preserve">des Oberbürgermeisters </w:t>
      </w:r>
      <w:r w:rsidRPr="00F64990">
        <w:rPr>
          <w:rFonts w:cs="Arial"/>
          <w:szCs w:val="24"/>
        </w:rPr>
        <w:t>- Bürgerbegehren „für ein fahrradfreundliches Stuttgart“ der Initiative „Radentscheid Stuttgart“, Entscheidung über die Zulässigkeit und Zielbeschluss zum Radverkehr</w:t>
      </w:r>
      <w:r w:rsidR="00B55B65">
        <w:rPr>
          <w:rFonts w:cs="Arial"/>
          <w:szCs w:val="24"/>
        </w:rPr>
        <w:t>,</w:t>
      </w:r>
      <w:r w:rsidRPr="00F64990">
        <w:rPr>
          <w:rFonts w:cs="Arial"/>
          <w:szCs w:val="24"/>
        </w:rPr>
        <w:t xml:space="preserve"> hat der Gemeinderat am 21. Februar 2019 die Verwaltung u.</w:t>
      </w:r>
      <w:r w:rsidR="00B55B65">
        <w:rPr>
          <w:rFonts w:cs="Arial"/>
          <w:szCs w:val="24"/>
        </w:rPr>
        <w:t xml:space="preserve"> </w:t>
      </w:r>
      <w:r w:rsidRPr="00F64990">
        <w:rPr>
          <w:rFonts w:cs="Arial"/>
          <w:szCs w:val="24"/>
        </w:rPr>
        <w:t xml:space="preserve">a. beauftragt, in den kommenden Haushaltsberatungen einen Vorschlag zur Erhöhung des </w:t>
      </w:r>
      <w:proofErr w:type="spellStart"/>
      <w:r w:rsidRPr="00F64990">
        <w:rPr>
          <w:rFonts w:cs="Arial"/>
          <w:szCs w:val="24"/>
        </w:rPr>
        <w:t>Radetats</w:t>
      </w:r>
      <w:proofErr w:type="spellEnd"/>
      <w:r w:rsidRPr="00F64990">
        <w:rPr>
          <w:rFonts w:cs="Arial"/>
          <w:szCs w:val="24"/>
        </w:rPr>
        <w:t xml:space="preserve"> und des damit verbundenen Stellenbedarfs zu machen.</w:t>
      </w:r>
    </w:p>
    <w:p w:rsidR="000D0D44" w:rsidRPr="00F64990" w:rsidRDefault="000D0D44" w:rsidP="00D630C4">
      <w:pPr>
        <w:pStyle w:val="Fint"/>
        <w:rPr>
          <w:rFonts w:cs="Arial"/>
          <w:szCs w:val="24"/>
        </w:rPr>
      </w:pPr>
    </w:p>
    <w:p w:rsidR="00312F91" w:rsidRPr="00F64990" w:rsidRDefault="00D8075A" w:rsidP="00D630C4">
      <w:pPr>
        <w:ind w:hanging="142"/>
        <w:rPr>
          <w:rFonts w:cs="Arial"/>
        </w:rPr>
      </w:pPr>
      <w:r>
        <w:rPr>
          <w:rFonts w:cs="Arial"/>
        </w:rPr>
        <w:t xml:space="preserve">  </w:t>
      </w:r>
      <w:bookmarkStart w:id="0" w:name="_GoBack"/>
      <w:bookmarkEnd w:id="0"/>
      <w:r w:rsidR="000D0D44" w:rsidRPr="00F64990">
        <w:rPr>
          <w:rFonts w:cs="Arial"/>
        </w:rPr>
        <w:t xml:space="preserve">Als Ergänzungsbeschluss zur </w:t>
      </w:r>
      <w:proofErr w:type="spellStart"/>
      <w:r w:rsidR="000D0D44" w:rsidRPr="00F64990">
        <w:rPr>
          <w:rFonts w:cs="Arial"/>
        </w:rPr>
        <w:t>GRDrs</w:t>
      </w:r>
      <w:proofErr w:type="spellEnd"/>
      <w:r w:rsidR="00B55B65">
        <w:rPr>
          <w:rFonts w:cs="Arial"/>
        </w:rPr>
        <w:t>.</w:t>
      </w:r>
      <w:r w:rsidR="000D0D44" w:rsidRPr="00F64990">
        <w:rPr>
          <w:rFonts w:cs="Arial"/>
        </w:rPr>
        <w:t xml:space="preserve"> 1120/2018 wurde durch Annahme des Antrags Nr. 76/2019 am 21. Februar 2019 im Gemeinderat dieser Beschlussantrag dahingehend präzisiert, den </w:t>
      </w:r>
      <w:proofErr w:type="spellStart"/>
      <w:r w:rsidR="000D0D44" w:rsidRPr="00F64990">
        <w:rPr>
          <w:rFonts w:cs="Arial"/>
        </w:rPr>
        <w:t>Radetat</w:t>
      </w:r>
      <w:proofErr w:type="spellEnd"/>
      <w:r w:rsidR="000D0D44" w:rsidRPr="00F64990">
        <w:rPr>
          <w:rFonts w:cs="Arial"/>
        </w:rPr>
        <w:t xml:space="preserve"> für die Jahre 2020 bis </w:t>
      </w:r>
      <w:r w:rsidR="00420B80">
        <w:rPr>
          <w:rFonts w:cs="Arial"/>
        </w:rPr>
        <w:t>2023 je Jahr zunächst auf 20 €</w:t>
      </w:r>
      <w:r w:rsidR="000D0D44" w:rsidRPr="00F64990">
        <w:rPr>
          <w:rFonts w:cs="Arial"/>
        </w:rPr>
        <w:t xml:space="preserve"> je Einwohner</w:t>
      </w:r>
      <w:r w:rsidR="00420B80">
        <w:rPr>
          <w:rFonts w:cs="Arial"/>
        </w:rPr>
        <w:t>/-in</w:t>
      </w:r>
      <w:r w:rsidR="000D0D44" w:rsidRPr="00F64990">
        <w:rPr>
          <w:rFonts w:cs="Arial"/>
        </w:rPr>
        <w:t xml:space="preserve"> zu erhöhen. </w:t>
      </w:r>
    </w:p>
    <w:p w:rsidR="00D630C4" w:rsidRDefault="00D630C4" w:rsidP="00D630C4">
      <w:pPr>
        <w:rPr>
          <w:spacing w:val="2"/>
        </w:rPr>
      </w:pPr>
      <w:r>
        <w:rPr>
          <w:noProof/>
          <w:szCs w:val="22"/>
        </w:rPr>
        <w:lastRenderedPageBreak/>
        <w:t>Das vom Gemeinderat beschlossene Programm und der Ausbau der Hauptradrouten sind noch nicht abgeschlossen. Außerdem hat sich die Förderung des Radverkehrs inzwischen als fester Bestandteil des Aktionsplans Nachhaltige Mobilität sowie des Luftreinhalteplans etabliert.</w:t>
      </w:r>
      <w:r w:rsidRPr="008561E5">
        <w:rPr>
          <w:rFonts w:cs="Arial"/>
          <w:color w:val="000000"/>
        </w:rPr>
        <w:t xml:space="preserve"> </w:t>
      </w:r>
      <w:r>
        <w:rPr>
          <w:rFonts w:ascii="Helv" w:hAnsi="Helv" w:cs="Helv"/>
          <w:color w:val="000000"/>
        </w:rPr>
        <w:t>B</w:t>
      </w:r>
      <w:r w:rsidRPr="00480677">
        <w:rPr>
          <w:rFonts w:ascii="Helv" w:hAnsi="Helv" w:cs="Helv"/>
          <w:color w:val="000000"/>
        </w:rPr>
        <w:t>ei de</w:t>
      </w:r>
      <w:r>
        <w:rPr>
          <w:rFonts w:ascii="Helv" w:hAnsi="Helv" w:cs="Helv"/>
          <w:color w:val="000000"/>
        </w:rPr>
        <w:t>n</w:t>
      </w:r>
      <w:r w:rsidRPr="00480677">
        <w:rPr>
          <w:rFonts w:ascii="Helv" w:hAnsi="Helv" w:cs="Helv"/>
          <w:color w:val="000000"/>
        </w:rPr>
        <w:t xml:space="preserve"> zum Teil sehr kleinteiligen Lösungen</w:t>
      </w:r>
      <w:r>
        <w:rPr>
          <w:rFonts w:ascii="Helv" w:hAnsi="Helv" w:cs="Helv"/>
          <w:color w:val="000000"/>
        </w:rPr>
        <w:t xml:space="preserve"> müssen</w:t>
      </w:r>
      <w:r w:rsidRPr="00480677">
        <w:rPr>
          <w:rFonts w:ascii="Helv" w:hAnsi="Helv" w:cs="Helv"/>
          <w:color w:val="000000"/>
        </w:rPr>
        <w:t xml:space="preserve"> viele Varianten</w:t>
      </w:r>
      <w:r>
        <w:rPr>
          <w:rFonts w:ascii="Helv" w:hAnsi="Helv" w:cs="Helv"/>
          <w:color w:val="000000"/>
        </w:rPr>
        <w:t xml:space="preserve"> geprüft</w:t>
      </w:r>
      <w:r w:rsidRPr="00480677">
        <w:rPr>
          <w:rFonts w:ascii="Helv" w:hAnsi="Helv" w:cs="Helv"/>
          <w:color w:val="000000"/>
        </w:rPr>
        <w:t xml:space="preserve"> und Zusatzuntersuchungen durchgeführt werden. Der Pe</w:t>
      </w:r>
      <w:r>
        <w:rPr>
          <w:rFonts w:ascii="Helv" w:hAnsi="Helv" w:cs="Helv"/>
          <w:color w:val="000000"/>
        </w:rPr>
        <w:t>rsonalaufwand ist dadurch höher</w:t>
      </w:r>
      <w:r w:rsidRPr="00480677">
        <w:rPr>
          <w:rFonts w:ascii="Helv" w:hAnsi="Helv" w:cs="Helv"/>
          <w:color w:val="000000"/>
        </w:rPr>
        <w:t xml:space="preserve"> als bei anderen Straßenbauvorhaben.</w:t>
      </w:r>
      <w:r>
        <w:rPr>
          <w:rFonts w:ascii="Helv" w:hAnsi="Helv" w:cs="Helv"/>
          <w:color w:val="000000"/>
        </w:rPr>
        <w:t xml:space="preserve"> Auch</w:t>
      </w:r>
      <w:r>
        <w:t xml:space="preserve"> die vielen komplizierten Lösungen an signalisierten Knotenpunkten erfordern sehr viel Bearbeitungszeit.</w:t>
      </w:r>
      <w:r w:rsidRPr="00480677">
        <w:t xml:space="preserve"> </w:t>
      </w:r>
      <w:r>
        <w:t>Außerdem greift die Radwegep</w:t>
      </w:r>
      <w:r w:rsidR="009310DD">
        <w:t>lanung ins Bestandsnetz ein. Häufig kann das Ziel aufgrund d</w:t>
      </w:r>
      <w:r>
        <w:t xml:space="preserve">er Platzverhältnisse nur mit Sonderlösungen erreicht werden. </w:t>
      </w:r>
    </w:p>
    <w:p w:rsidR="00D630C4" w:rsidRPr="00F64990" w:rsidRDefault="00D630C4" w:rsidP="00D630C4">
      <w:pPr>
        <w:pStyle w:val="Listenabsatz"/>
        <w:ind w:left="0"/>
        <w:rPr>
          <w:rFonts w:cs="Arial"/>
        </w:rPr>
      </w:pPr>
    </w:p>
    <w:p w:rsidR="003D7B0B" w:rsidRPr="00F64990" w:rsidRDefault="003D7B0B" w:rsidP="00D630C4">
      <w:pPr>
        <w:pStyle w:val="berschrift2"/>
        <w:rPr>
          <w:rFonts w:cs="Arial"/>
        </w:rPr>
      </w:pPr>
      <w:r w:rsidRPr="00F64990">
        <w:rPr>
          <w:rFonts w:cs="Arial"/>
        </w:rPr>
        <w:t>3.2</w:t>
      </w:r>
      <w:r w:rsidRPr="00F64990">
        <w:rPr>
          <w:rFonts w:cs="Arial"/>
        </w:rPr>
        <w:tab/>
        <w:t>Bisherige Aufgabenwahrnehmung</w:t>
      </w:r>
    </w:p>
    <w:p w:rsidR="003D7B0B" w:rsidRPr="00F64990" w:rsidRDefault="003D7B0B" w:rsidP="00D630C4">
      <w:pPr>
        <w:rPr>
          <w:rFonts w:cs="Arial"/>
        </w:rPr>
      </w:pPr>
    </w:p>
    <w:p w:rsidR="008031C8" w:rsidRDefault="008031C8" w:rsidP="00D630C4">
      <w:pPr>
        <w:rPr>
          <w:rFonts w:cs="Arial"/>
        </w:rPr>
      </w:pPr>
      <w:r w:rsidRPr="00F64990">
        <w:rPr>
          <w:rFonts w:cs="Arial"/>
        </w:rPr>
        <w:t>Um den Radverkehr weiter auszubauen und zu fördern</w:t>
      </w:r>
      <w:r w:rsidR="005A0AA3">
        <w:rPr>
          <w:rFonts w:cs="Arial"/>
        </w:rPr>
        <w:t>,</w:t>
      </w:r>
      <w:r w:rsidRPr="00F64990">
        <w:rPr>
          <w:rFonts w:cs="Arial"/>
        </w:rPr>
        <w:t xml:space="preserve"> </w:t>
      </w:r>
      <w:r w:rsidR="00F6724D">
        <w:rPr>
          <w:rFonts w:cs="Arial"/>
        </w:rPr>
        <w:t>wurden</w:t>
      </w:r>
      <w:r w:rsidRPr="00F64990">
        <w:rPr>
          <w:rFonts w:cs="Arial"/>
        </w:rPr>
        <w:t xml:space="preserve"> in den letzten Jahren die finanziellen Mittel und Personalressourcen </w:t>
      </w:r>
      <w:r w:rsidR="00F6724D">
        <w:rPr>
          <w:rFonts w:cs="Arial"/>
        </w:rPr>
        <w:t>aufgestockt</w:t>
      </w:r>
      <w:r w:rsidR="00DC71AD">
        <w:rPr>
          <w:rFonts w:cs="Arial"/>
        </w:rPr>
        <w:t>, wobei für</w:t>
      </w:r>
      <w:r w:rsidR="00624087">
        <w:rPr>
          <w:rFonts w:cs="Arial"/>
        </w:rPr>
        <w:t xml:space="preserve"> den Bereich der Bauabteilungen</w:t>
      </w:r>
      <w:r w:rsidR="00DC71AD">
        <w:rPr>
          <w:rFonts w:cs="Arial"/>
        </w:rPr>
        <w:t xml:space="preserve"> </w:t>
      </w:r>
      <w:r w:rsidR="009C7A66">
        <w:rPr>
          <w:rFonts w:cs="Arial"/>
        </w:rPr>
        <w:t xml:space="preserve">1,0 </w:t>
      </w:r>
      <w:r w:rsidR="00DC71AD">
        <w:rPr>
          <w:rFonts w:cs="Arial"/>
        </w:rPr>
        <w:t xml:space="preserve">Stelle </w:t>
      </w:r>
      <w:r w:rsidR="009C7A66">
        <w:rPr>
          <w:rFonts w:cs="Arial"/>
        </w:rPr>
        <w:t>explizit</w:t>
      </w:r>
      <w:r w:rsidR="00624087">
        <w:rPr>
          <w:rFonts w:cs="Arial"/>
        </w:rPr>
        <w:t xml:space="preserve"> für den Radverkehr </w:t>
      </w:r>
      <w:r w:rsidR="009C7A66">
        <w:rPr>
          <w:rFonts w:cs="Arial"/>
        </w:rPr>
        <w:t xml:space="preserve">geschaffen wurde. </w:t>
      </w:r>
      <w:r w:rsidR="00E102CF">
        <w:rPr>
          <w:rFonts w:cs="Arial"/>
        </w:rPr>
        <w:t>Hinzu kommen</w:t>
      </w:r>
      <w:r w:rsidR="00624087">
        <w:rPr>
          <w:rFonts w:cs="Arial"/>
        </w:rPr>
        <w:t xml:space="preserve"> im Umfang von 2,0 Vollkraftwerten</w:t>
      </w:r>
      <w:r w:rsidR="00E102CF">
        <w:rPr>
          <w:rFonts w:cs="Arial"/>
        </w:rPr>
        <w:t xml:space="preserve"> auf 09/2022 befristete Ermächtigungen</w:t>
      </w:r>
      <w:r w:rsidR="009C7A66">
        <w:rPr>
          <w:rFonts w:cs="Arial"/>
        </w:rPr>
        <w:t xml:space="preserve"> </w:t>
      </w:r>
      <w:r w:rsidR="00E102CF">
        <w:rPr>
          <w:rFonts w:cs="Arial"/>
        </w:rPr>
        <w:t>im Rahmen der Landesförderung</w:t>
      </w:r>
      <w:r w:rsidR="00624087">
        <w:rPr>
          <w:rFonts w:cs="Arial"/>
        </w:rPr>
        <w:t xml:space="preserve"> zur Luftreinhaltung</w:t>
      </w:r>
      <w:r w:rsidR="00E102CF">
        <w:rPr>
          <w:rFonts w:cs="Arial"/>
        </w:rPr>
        <w:t xml:space="preserve">. </w:t>
      </w:r>
      <w:r w:rsidR="009C7A66">
        <w:rPr>
          <w:rFonts w:cs="Arial"/>
        </w:rPr>
        <w:t xml:space="preserve">Andere Kapazitäten beinhalten nur teilweise auch Aufgaben des Radverkehrs. </w:t>
      </w:r>
      <w:r w:rsidR="00E102CF">
        <w:rPr>
          <w:rFonts w:cs="Arial"/>
        </w:rPr>
        <w:t xml:space="preserve">Vor dem unter Ziffer 3.1 genannten Hintergrund reichen diese personellen Kapazitäten für die Umsetzung der Projekte und Entscheidungen der Radoffensive nicht aus. </w:t>
      </w:r>
    </w:p>
    <w:p w:rsidR="00D630C4" w:rsidRDefault="00D630C4" w:rsidP="00D630C4">
      <w:pPr>
        <w:rPr>
          <w:rFonts w:ascii="Helv" w:hAnsi="Helv" w:cs="Helv"/>
          <w:color w:val="000000"/>
        </w:rPr>
      </w:pPr>
    </w:p>
    <w:p w:rsidR="003D7B0B" w:rsidRPr="00F64990" w:rsidRDefault="006E0575" w:rsidP="00B7185D">
      <w:pPr>
        <w:pStyle w:val="berschrift2"/>
        <w:rPr>
          <w:rFonts w:cs="Arial"/>
        </w:rPr>
      </w:pPr>
      <w:r w:rsidRPr="00F64990">
        <w:rPr>
          <w:rFonts w:cs="Arial"/>
        </w:rPr>
        <w:t>3.3</w:t>
      </w:r>
      <w:r w:rsidR="003D7B0B" w:rsidRPr="00F64990">
        <w:rPr>
          <w:rFonts w:cs="Arial"/>
        </w:rPr>
        <w:tab/>
        <w:t>Auswirkungen bei Ablehnung der Stellenschaffungen</w:t>
      </w:r>
    </w:p>
    <w:p w:rsidR="003D7B0B" w:rsidRPr="00F64990" w:rsidRDefault="003D7B0B" w:rsidP="00B7185D">
      <w:pPr>
        <w:rPr>
          <w:rFonts w:cs="Arial"/>
        </w:rPr>
      </w:pPr>
    </w:p>
    <w:p w:rsidR="008031C8" w:rsidRPr="00F64990" w:rsidRDefault="00222EEA" w:rsidP="00B7185D">
      <w:pPr>
        <w:spacing w:before="120" w:after="120"/>
        <w:rPr>
          <w:rFonts w:cs="Arial"/>
        </w:rPr>
      </w:pPr>
      <w:r>
        <w:rPr>
          <w:rFonts w:cs="Arial"/>
        </w:rPr>
        <w:t>Der Ausbau</w:t>
      </w:r>
      <w:r w:rsidR="008031C8" w:rsidRPr="00F64990">
        <w:rPr>
          <w:rFonts w:cs="Arial"/>
        </w:rPr>
        <w:t xml:space="preserve"> des Radverkehrs</w:t>
      </w:r>
      <w:r>
        <w:rPr>
          <w:rFonts w:cs="Arial"/>
        </w:rPr>
        <w:t xml:space="preserve"> als wichtige Maßnahme der nachhaltigen Mobilität und somit der Luftreinhaltung könnte nicht</w:t>
      </w:r>
      <w:r w:rsidR="009310DD">
        <w:rPr>
          <w:rFonts w:cs="Arial"/>
        </w:rPr>
        <w:t xml:space="preserve"> im</w:t>
      </w:r>
      <w:r>
        <w:rPr>
          <w:rFonts w:cs="Arial"/>
        </w:rPr>
        <w:t xml:space="preserve"> vorgegebenen Umfang umgesetzt werden. Die </w:t>
      </w:r>
      <w:r w:rsidR="00624087">
        <w:rPr>
          <w:rFonts w:cs="Arial"/>
        </w:rPr>
        <w:t>Ziele und Erwartungen</w:t>
      </w:r>
      <w:r>
        <w:rPr>
          <w:rFonts w:cs="Arial"/>
        </w:rPr>
        <w:t xml:space="preserve"> –</w:t>
      </w:r>
      <w:r w:rsidR="00624087">
        <w:rPr>
          <w:rFonts w:cs="Arial"/>
        </w:rPr>
        <w:t xml:space="preserve"> besonders </w:t>
      </w:r>
      <w:r>
        <w:rPr>
          <w:rFonts w:cs="Arial"/>
        </w:rPr>
        <w:t>auch</w:t>
      </w:r>
      <w:r w:rsidR="00624087">
        <w:rPr>
          <w:rFonts w:cs="Arial"/>
        </w:rPr>
        <w:t xml:space="preserve"> von</w:t>
      </w:r>
      <w:r>
        <w:rPr>
          <w:rFonts w:cs="Arial"/>
        </w:rPr>
        <w:t xml:space="preserve"> der Öffentlichkeit – würden nicht erfüllt.</w:t>
      </w:r>
      <w:r w:rsidR="006F5FE0" w:rsidRPr="00F64990">
        <w:rPr>
          <w:rFonts w:cs="Arial"/>
        </w:rPr>
        <w:t xml:space="preserve"> </w:t>
      </w:r>
    </w:p>
    <w:p w:rsidR="003D7B0B" w:rsidRPr="00F64990" w:rsidRDefault="00884D6C" w:rsidP="00B7185D">
      <w:pPr>
        <w:pStyle w:val="berschrift1"/>
        <w:rPr>
          <w:rFonts w:cs="Arial"/>
        </w:rPr>
      </w:pPr>
      <w:r w:rsidRPr="00F64990">
        <w:rPr>
          <w:rFonts w:cs="Arial"/>
        </w:rPr>
        <w:t>4</w:t>
      </w:r>
      <w:r w:rsidRPr="00F64990">
        <w:rPr>
          <w:rFonts w:cs="Arial"/>
        </w:rPr>
        <w:tab/>
      </w:r>
      <w:r w:rsidR="003D7B0B" w:rsidRPr="00F64990">
        <w:rPr>
          <w:rFonts w:cs="Arial"/>
        </w:rPr>
        <w:t>Stellenvermerke</w:t>
      </w:r>
    </w:p>
    <w:p w:rsidR="00DE362D" w:rsidRDefault="00DE362D" w:rsidP="00B7185D">
      <w:pPr>
        <w:rPr>
          <w:rFonts w:cs="Arial"/>
        </w:rPr>
      </w:pPr>
    </w:p>
    <w:p w:rsidR="00144E73" w:rsidRDefault="00222EEA" w:rsidP="00B7185D">
      <w:pPr>
        <w:rPr>
          <w:rFonts w:cs="Arial"/>
        </w:rPr>
      </w:pPr>
      <w:r>
        <w:rPr>
          <w:rFonts w:cs="Arial"/>
        </w:rPr>
        <w:t>KW 01/2024</w:t>
      </w:r>
    </w:p>
    <w:p w:rsidR="00222EEA" w:rsidRPr="00F64990" w:rsidRDefault="00222EEA" w:rsidP="00B7185D">
      <w:pPr>
        <w:rPr>
          <w:rFonts w:cs="Arial"/>
        </w:rPr>
      </w:pPr>
      <w:r>
        <w:rPr>
          <w:rFonts w:cs="Arial"/>
        </w:rPr>
        <w:t>Die Besetzung der Stellen kann unbefristet erfolgen.</w:t>
      </w:r>
    </w:p>
    <w:sectPr w:rsidR="00222EEA" w:rsidRPr="00F64990" w:rsidSect="005A0AA3">
      <w:headerReference w:type="default" r:id="rId7"/>
      <w:pgSz w:w="11907" w:h="16840" w:code="9"/>
      <w:pgMar w:top="1418" w:right="1134"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3E" w:rsidRDefault="00BB703E">
      <w:r>
        <w:separator/>
      </w:r>
    </w:p>
  </w:endnote>
  <w:endnote w:type="continuationSeparator" w:id="0">
    <w:p w:rsidR="00BB703E" w:rsidRDefault="00BB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3E" w:rsidRDefault="00BB703E">
      <w:r>
        <w:separator/>
      </w:r>
    </w:p>
  </w:footnote>
  <w:footnote w:type="continuationSeparator" w:id="0">
    <w:p w:rsidR="00BB703E" w:rsidRDefault="00BB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8075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B0C22"/>
    <w:multiLevelType w:val="hybridMultilevel"/>
    <w:tmpl w:val="EF1A469C"/>
    <w:lvl w:ilvl="0" w:tplc="4BA45DD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3C6479AC"/>
    <w:multiLevelType w:val="hybridMultilevel"/>
    <w:tmpl w:val="D3DC46F8"/>
    <w:lvl w:ilvl="0" w:tplc="0EB45A34">
      <w:start w:val="1"/>
      <w:numFmt w:val="decimal"/>
      <w:lvlText w:val="%1)"/>
      <w:lvlJc w:val="left"/>
      <w:pPr>
        <w:ind w:left="1429" w:hanging="360"/>
      </w:pPr>
      <w:rPr>
        <w:b w:val="0"/>
        <w:strike w:val="0"/>
        <w:color w:val="auto"/>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5" w15:restartNumberingAfterBreak="0">
    <w:nsid w:val="45534DAB"/>
    <w:multiLevelType w:val="hybridMultilevel"/>
    <w:tmpl w:val="D7E4C4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E951325"/>
    <w:multiLevelType w:val="hybridMultilevel"/>
    <w:tmpl w:val="07EE96DE"/>
    <w:lvl w:ilvl="0" w:tplc="8D50CF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74203417"/>
    <w:multiLevelType w:val="hybridMultilevel"/>
    <w:tmpl w:val="5F02506C"/>
    <w:lvl w:ilvl="0" w:tplc="95926F3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6"/>
  </w:num>
  <w:num w:numId="5">
    <w:abstractNumId w:val="8"/>
  </w:num>
  <w:num w:numId="6">
    <w:abstractNumId w:val="1"/>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6B"/>
    <w:rsid w:val="00013947"/>
    <w:rsid w:val="00042F73"/>
    <w:rsid w:val="00055758"/>
    <w:rsid w:val="00055ACB"/>
    <w:rsid w:val="0006424F"/>
    <w:rsid w:val="00091615"/>
    <w:rsid w:val="00097242"/>
    <w:rsid w:val="000A1146"/>
    <w:rsid w:val="000C0EEF"/>
    <w:rsid w:val="000D0D44"/>
    <w:rsid w:val="001034AF"/>
    <w:rsid w:val="0011112B"/>
    <w:rsid w:val="00137669"/>
    <w:rsid w:val="0014415D"/>
    <w:rsid w:val="00144E73"/>
    <w:rsid w:val="001470C2"/>
    <w:rsid w:val="00151488"/>
    <w:rsid w:val="00151F19"/>
    <w:rsid w:val="00163034"/>
    <w:rsid w:val="00164678"/>
    <w:rsid w:val="00165C0D"/>
    <w:rsid w:val="00181857"/>
    <w:rsid w:val="00184EDC"/>
    <w:rsid w:val="00194770"/>
    <w:rsid w:val="001A5F9B"/>
    <w:rsid w:val="001F7237"/>
    <w:rsid w:val="00222EEA"/>
    <w:rsid w:val="002924CB"/>
    <w:rsid w:val="002A20D1"/>
    <w:rsid w:val="002A4DE3"/>
    <w:rsid w:val="002B5955"/>
    <w:rsid w:val="002D07F4"/>
    <w:rsid w:val="0030686C"/>
    <w:rsid w:val="00312F91"/>
    <w:rsid w:val="003250A7"/>
    <w:rsid w:val="00325B79"/>
    <w:rsid w:val="00340965"/>
    <w:rsid w:val="00347422"/>
    <w:rsid w:val="00380937"/>
    <w:rsid w:val="00383D17"/>
    <w:rsid w:val="00397717"/>
    <w:rsid w:val="003D7B0B"/>
    <w:rsid w:val="003F0FAA"/>
    <w:rsid w:val="00411586"/>
    <w:rsid w:val="00420B80"/>
    <w:rsid w:val="0046737C"/>
    <w:rsid w:val="00470135"/>
    <w:rsid w:val="00475959"/>
    <w:rsid w:val="0047606A"/>
    <w:rsid w:val="004908B5"/>
    <w:rsid w:val="0049121B"/>
    <w:rsid w:val="004A1688"/>
    <w:rsid w:val="004A771C"/>
    <w:rsid w:val="004B2DB3"/>
    <w:rsid w:val="004B6796"/>
    <w:rsid w:val="004D4768"/>
    <w:rsid w:val="00541188"/>
    <w:rsid w:val="0058420F"/>
    <w:rsid w:val="005A0A08"/>
    <w:rsid w:val="005A0A9D"/>
    <w:rsid w:val="005A0AA3"/>
    <w:rsid w:val="005A4DC7"/>
    <w:rsid w:val="005A56AA"/>
    <w:rsid w:val="005D5602"/>
    <w:rsid w:val="005E19C6"/>
    <w:rsid w:val="005F5B3D"/>
    <w:rsid w:val="005F73A5"/>
    <w:rsid w:val="00606F80"/>
    <w:rsid w:val="00622CC7"/>
    <w:rsid w:val="00624087"/>
    <w:rsid w:val="006A406B"/>
    <w:rsid w:val="006B6D50"/>
    <w:rsid w:val="006E0575"/>
    <w:rsid w:val="006F5FE0"/>
    <w:rsid w:val="007173D0"/>
    <w:rsid w:val="0072799A"/>
    <w:rsid w:val="00741347"/>
    <w:rsid w:val="00754659"/>
    <w:rsid w:val="00797A58"/>
    <w:rsid w:val="007B1EB1"/>
    <w:rsid w:val="007E3B79"/>
    <w:rsid w:val="008031C8"/>
    <w:rsid w:val="008066EE"/>
    <w:rsid w:val="00815F15"/>
    <w:rsid w:val="00817BB6"/>
    <w:rsid w:val="00884D6C"/>
    <w:rsid w:val="00920F00"/>
    <w:rsid w:val="00926A5E"/>
    <w:rsid w:val="009310DD"/>
    <w:rsid w:val="009373F6"/>
    <w:rsid w:val="00942961"/>
    <w:rsid w:val="00976588"/>
    <w:rsid w:val="00996B48"/>
    <w:rsid w:val="009C7A66"/>
    <w:rsid w:val="009D196B"/>
    <w:rsid w:val="009E66BE"/>
    <w:rsid w:val="00A27CA7"/>
    <w:rsid w:val="00A4130B"/>
    <w:rsid w:val="00A71D0A"/>
    <w:rsid w:val="00A73AA7"/>
    <w:rsid w:val="00A77F1E"/>
    <w:rsid w:val="00A802DC"/>
    <w:rsid w:val="00A847C4"/>
    <w:rsid w:val="00A92E4F"/>
    <w:rsid w:val="00AB389D"/>
    <w:rsid w:val="00AF0DEA"/>
    <w:rsid w:val="00AF1FA7"/>
    <w:rsid w:val="00AF25E0"/>
    <w:rsid w:val="00B04290"/>
    <w:rsid w:val="00B11A37"/>
    <w:rsid w:val="00B26ABF"/>
    <w:rsid w:val="00B30180"/>
    <w:rsid w:val="00B55B65"/>
    <w:rsid w:val="00B7185D"/>
    <w:rsid w:val="00B80DEF"/>
    <w:rsid w:val="00B86BB5"/>
    <w:rsid w:val="00B91903"/>
    <w:rsid w:val="00BB703E"/>
    <w:rsid w:val="00BC4669"/>
    <w:rsid w:val="00BD4A03"/>
    <w:rsid w:val="00C16EF1"/>
    <w:rsid w:val="00C448D3"/>
    <w:rsid w:val="00C81E9C"/>
    <w:rsid w:val="00CC1C8F"/>
    <w:rsid w:val="00CD7242"/>
    <w:rsid w:val="00CF62E5"/>
    <w:rsid w:val="00D359EB"/>
    <w:rsid w:val="00D630C4"/>
    <w:rsid w:val="00D66D3A"/>
    <w:rsid w:val="00D743D4"/>
    <w:rsid w:val="00D8075A"/>
    <w:rsid w:val="00DB3D6C"/>
    <w:rsid w:val="00DC71AD"/>
    <w:rsid w:val="00DE362D"/>
    <w:rsid w:val="00E014B6"/>
    <w:rsid w:val="00E102CF"/>
    <w:rsid w:val="00E1162F"/>
    <w:rsid w:val="00E11D5F"/>
    <w:rsid w:val="00E20E1F"/>
    <w:rsid w:val="00E365A9"/>
    <w:rsid w:val="00E42F96"/>
    <w:rsid w:val="00E5060E"/>
    <w:rsid w:val="00E7118F"/>
    <w:rsid w:val="00F0273E"/>
    <w:rsid w:val="00F27657"/>
    <w:rsid w:val="00F342DC"/>
    <w:rsid w:val="00F434F2"/>
    <w:rsid w:val="00F56AF6"/>
    <w:rsid w:val="00F56F93"/>
    <w:rsid w:val="00F63041"/>
    <w:rsid w:val="00F64990"/>
    <w:rsid w:val="00F6724D"/>
    <w:rsid w:val="00F76452"/>
    <w:rsid w:val="00FD6B46"/>
    <w:rsid w:val="00FE5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C3A31"/>
  <w15:docId w15:val="{619DFAD9-667D-4979-92A3-184A5FB6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Fint">
    <w:name w:val="Fint"/>
    <w:basedOn w:val="Standard"/>
    <w:rsid w:val="000D0D44"/>
    <w:rPr>
      <w:szCs w:val="20"/>
    </w:rPr>
  </w:style>
  <w:style w:type="paragraph" w:styleId="Listenabsatz">
    <w:name w:val="List Paragraph"/>
    <w:basedOn w:val="Standard"/>
    <w:uiPriority w:val="34"/>
    <w:qFormat/>
    <w:rsid w:val="00340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7052">
      <w:bodyDiv w:val="1"/>
      <w:marLeft w:val="0"/>
      <w:marRight w:val="0"/>
      <w:marTop w:val="0"/>
      <w:marBottom w:val="0"/>
      <w:divBdr>
        <w:top w:val="none" w:sz="0" w:space="0" w:color="auto"/>
        <w:left w:val="none" w:sz="0" w:space="0" w:color="auto"/>
        <w:bottom w:val="none" w:sz="0" w:space="0" w:color="auto"/>
        <w:right w:val="none" w:sz="0" w:space="0" w:color="auto"/>
      </w:divBdr>
      <w:divsChild>
        <w:div w:id="32930496">
          <w:marLeft w:val="0"/>
          <w:marRight w:val="0"/>
          <w:marTop w:val="0"/>
          <w:marBottom w:val="0"/>
          <w:divBdr>
            <w:top w:val="none" w:sz="0" w:space="0" w:color="auto"/>
            <w:left w:val="none" w:sz="0" w:space="0" w:color="auto"/>
            <w:bottom w:val="none" w:sz="0" w:space="0" w:color="auto"/>
            <w:right w:val="none" w:sz="0" w:space="0" w:color="auto"/>
          </w:divBdr>
        </w:div>
        <w:div w:id="1401562867">
          <w:marLeft w:val="0"/>
          <w:marRight w:val="0"/>
          <w:marTop w:val="0"/>
          <w:marBottom w:val="0"/>
          <w:divBdr>
            <w:top w:val="none" w:sz="0" w:space="0" w:color="auto"/>
            <w:left w:val="none" w:sz="0" w:space="0" w:color="auto"/>
            <w:bottom w:val="none" w:sz="0" w:space="0" w:color="auto"/>
            <w:right w:val="none" w:sz="0" w:space="0" w:color="auto"/>
          </w:divBdr>
        </w:div>
        <w:div w:id="1026060013">
          <w:marLeft w:val="0"/>
          <w:marRight w:val="0"/>
          <w:marTop w:val="0"/>
          <w:marBottom w:val="0"/>
          <w:divBdr>
            <w:top w:val="none" w:sz="0" w:space="0" w:color="auto"/>
            <w:left w:val="none" w:sz="0" w:space="0" w:color="auto"/>
            <w:bottom w:val="none" w:sz="0" w:space="0" w:color="auto"/>
            <w:right w:val="none" w:sz="0" w:space="0" w:color="auto"/>
          </w:divBdr>
        </w:div>
      </w:divsChild>
    </w:div>
    <w:div w:id="1732920205">
      <w:bodyDiv w:val="1"/>
      <w:marLeft w:val="0"/>
      <w:marRight w:val="0"/>
      <w:marTop w:val="0"/>
      <w:marBottom w:val="0"/>
      <w:divBdr>
        <w:top w:val="none" w:sz="0" w:space="0" w:color="auto"/>
        <w:left w:val="none" w:sz="0" w:space="0" w:color="auto"/>
        <w:bottom w:val="none" w:sz="0" w:space="0" w:color="auto"/>
        <w:right w:val="none" w:sz="0" w:space="0" w:color="auto"/>
      </w:divBdr>
      <w:divsChild>
        <w:div w:id="1177306461">
          <w:marLeft w:val="0"/>
          <w:marRight w:val="0"/>
          <w:marTop w:val="0"/>
          <w:marBottom w:val="0"/>
          <w:divBdr>
            <w:top w:val="none" w:sz="0" w:space="0" w:color="auto"/>
            <w:left w:val="none" w:sz="0" w:space="0" w:color="auto"/>
            <w:bottom w:val="none" w:sz="0" w:space="0" w:color="auto"/>
            <w:right w:val="none" w:sz="0" w:space="0" w:color="auto"/>
          </w:divBdr>
        </w:div>
        <w:div w:id="533543455">
          <w:marLeft w:val="0"/>
          <w:marRight w:val="0"/>
          <w:marTop w:val="0"/>
          <w:marBottom w:val="0"/>
          <w:divBdr>
            <w:top w:val="none" w:sz="0" w:space="0" w:color="auto"/>
            <w:left w:val="none" w:sz="0" w:space="0" w:color="auto"/>
            <w:bottom w:val="none" w:sz="0" w:space="0" w:color="auto"/>
            <w:right w:val="none" w:sz="0" w:space="0" w:color="auto"/>
          </w:divBdr>
        </w:div>
        <w:div w:id="1381595485">
          <w:marLeft w:val="0"/>
          <w:marRight w:val="0"/>
          <w:marTop w:val="0"/>
          <w:marBottom w:val="0"/>
          <w:divBdr>
            <w:top w:val="none" w:sz="0" w:space="0" w:color="auto"/>
            <w:left w:val="none" w:sz="0" w:space="0" w:color="auto"/>
            <w:bottom w:val="none" w:sz="0" w:space="0" w:color="auto"/>
            <w:right w:val="none" w:sz="0" w:space="0" w:color="auto"/>
          </w:divBdr>
        </w:div>
        <w:div w:id="586303720">
          <w:marLeft w:val="0"/>
          <w:marRight w:val="0"/>
          <w:marTop w:val="0"/>
          <w:marBottom w:val="0"/>
          <w:divBdr>
            <w:top w:val="none" w:sz="0" w:space="0" w:color="auto"/>
            <w:left w:val="none" w:sz="0" w:space="0" w:color="auto"/>
            <w:bottom w:val="none" w:sz="0" w:space="0" w:color="auto"/>
            <w:right w:val="none" w:sz="0" w:space="0" w:color="auto"/>
          </w:divBdr>
        </w:div>
        <w:div w:id="138958867">
          <w:marLeft w:val="0"/>
          <w:marRight w:val="0"/>
          <w:marTop w:val="0"/>
          <w:marBottom w:val="0"/>
          <w:divBdr>
            <w:top w:val="none" w:sz="0" w:space="0" w:color="auto"/>
            <w:left w:val="none" w:sz="0" w:space="0" w:color="auto"/>
            <w:bottom w:val="none" w:sz="0" w:space="0" w:color="auto"/>
            <w:right w:val="none" w:sz="0" w:space="0" w:color="auto"/>
          </w:divBdr>
        </w:div>
        <w:div w:id="1703050822">
          <w:marLeft w:val="0"/>
          <w:marRight w:val="0"/>
          <w:marTop w:val="0"/>
          <w:marBottom w:val="0"/>
          <w:divBdr>
            <w:top w:val="none" w:sz="0" w:space="0" w:color="auto"/>
            <w:left w:val="none" w:sz="0" w:space="0" w:color="auto"/>
            <w:bottom w:val="none" w:sz="0" w:space="0" w:color="auto"/>
            <w:right w:val="none" w:sz="0" w:space="0" w:color="auto"/>
          </w:divBdr>
        </w:div>
        <w:div w:id="20520954">
          <w:marLeft w:val="0"/>
          <w:marRight w:val="0"/>
          <w:marTop w:val="0"/>
          <w:marBottom w:val="0"/>
          <w:divBdr>
            <w:top w:val="none" w:sz="0" w:space="0" w:color="auto"/>
            <w:left w:val="none" w:sz="0" w:space="0" w:color="auto"/>
            <w:bottom w:val="none" w:sz="0" w:space="0" w:color="auto"/>
            <w:right w:val="none" w:sz="0" w:space="0" w:color="auto"/>
          </w:divBdr>
        </w:div>
        <w:div w:id="1373380298">
          <w:marLeft w:val="0"/>
          <w:marRight w:val="0"/>
          <w:marTop w:val="0"/>
          <w:marBottom w:val="0"/>
          <w:divBdr>
            <w:top w:val="none" w:sz="0" w:space="0" w:color="auto"/>
            <w:left w:val="none" w:sz="0" w:space="0" w:color="auto"/>
            <w:bottom w:val="none" w:sz="0" w:space="0" w:color="auto"/>
            <w:right w:val="none" w:sz="0" w:space="0" w:color="auto"/>
          </w:divBdr>
        </w:div>
        <w:div w:id="1270897564">
          <w:marLeft w:val="0"/>
          <w:marRight w:val="0"/>
          <w:marTop w:val="0"/>
          <w:marBottom w:val="0"/>
          <w:divBdr>
            <w:top w:val="none" w:sz="0" w:space="0" w:color="auto"/>
            <w:left w:val="none" w:sz="0" w:space="0" w:color="auto"/>
            <w:bottom w:val="none" w:sz="0" w:space="0" w:color="auto"/>
            <w:right w:val="none" w:sz="0" w:space="0" w:color="auto"/>
          </w:divBdr>
        </w:div>
        <w:div w:id="319776962">
          <w:marLeft w:val="0"/>
          <w:marRight w:val="0"/>
          <w:marTop w:val="0"/>
          <w:marBottom w:val="0"/>
          <w:divBdr>
            <w:top w:val="none" w:sz="0" w:space="0" w:color="auto"/>
            <w:left w:val="none" w:sz="0" w:space="0" w:color="auto"/>
            <w:bottom w:val="none" w:sz="0" w:space="0" w:color="auto"/>
            <w:right w:val="none" w:sz="0" w:space="0" w:color="auto"/>
          </w:divBdr>
        </w:div>
        <w:div w:id="273247013">
          <w:marLeft w:val="0"/>
          <w:marRight w:val="0"/>
          <w:marTop w:val="0"/>
          <w:marBottom w:val="0"/>
          <w:divBdr>
            <w:top w:val="none" w:sz="0" w:space="0" w:color="auto"/>
            <w:left w:val="none" w:sz="0" w:space="0" w:color="auto"/>
            <w:bottom w:val="none" w:sz="0" w:space="0" w:color="auto"/>
            <w:right w:val="none" w:sz="0" w:space="0" w:color="auto"/>
          </w:divBdr>
        </w:div>
        <w:div w:id="554972952">
          <w:marLeft w:val="0"/>
          <w:marRight w:val="0"/>
          <w:marTop w:val="0"/>
          <w:marBottom w:val="0"/>
          <w:divBdr>
            <w:top w:val="none" w:sz="0" w:space="0" w:color="auto"/>
            <w:left w:val="none" w:sz="0" w:space="0" w:color="auto"/>
            <w:bottom w:val="none" w:sz="0" w:space="0" w:color="auto"/>
            <w:right w:val="none" w:sz="0" w:space="0" w:color="auto"/>
          </w:divBdr>
        </w:div>
        <w:div w:id="675184191">
          <w:marLeft w:val="0"/>
          <w:marRight w:val="0"/>
          <w:marTop w:val="0"/>
          <w:marBottom w:val="0"/>
          <w:divBdr>
            <w:top w:val="none" w:sz="0" w:space="0" w:color="auto"/>
            <w:left w:val="none" w:sz="0" w:space="0" w:color="auto"/>
            <w:bottom w:val="none" w:sz="0" w:space="0" w:color="auto"/>
            <w:right w:val="none" w:sz="0" w:space="0" w:color="auto"/>
          </w:divBdr>
        </w:div>
        <w:div w:id="1455710811">
          <w:marLeft w:val="0"/>
          <w:marRight w:val="0"/>
          <w:marTop w:val="0"/>
          <w:marBottom w:val="0"/>
          <w:divBdr>
            <w:top w:val="none" w:sz="0" w:space="0" w:color="auto"/>
            <w:left w:val="none" w:sz="0" w:space="0" w:color="auto"/>
            <w:bottom w:val="none" w:sz="0" w:space="0" w:color="auto"/>
            <w:right w:val="none" w:sz="0" w:space="0" w:color="auto"/>
          </w:divBdr>
        </w:div>
        <w:div w:id="1647706531">
          <w:marLeft w:val="0"/>
          <w:marRight w:val="0"/>
          <w:marTop w:val="0"/>
          <w:marBottom w:val="0"/>
          <w:divBdr>
            <w:top w:val="none" w:sz="0" w:space="0" w:color="auto"/>
            <w:left w:val="none" w:sz="0" w:space="0" w:color="auto"/>
            <w:bottom w:val="none" w:sz="0" w:space="0" w:color="auto"/>
            <w:right w:val="none" w:sz="0" w:space="0" w:color="auto"/>
          </w:divBdr>
        </w:div>
        <w:div w:id="1332678893">
          <w:marLeft w:val="0"/>
          <w:marRight w:val="0"/>
          <w:marTop w:val="0"/>
          <w:marBottom w:val="0"/>
          <w:divBdr>
            <w:top w:val="none" w:sz="0" w:space="0" w:color="auto"/>
            <w:left w:val="none" w:sz="0" w:space="0" w:color="auto"/>
            <w:bottom w:val="none" w:sz="0" w:space="0" w:color="auto"/>
            <w:right w:val="none" w:sz="0" w:space="0" w:color="auto"/>
          </w:divBdr>
        </w:div>
        <w:div w:id="1936281094">
          <w:marLeft w:val="0"/>
          <w:marRight w:val="0"/>
          <w:marTop w:val="0"/>
          <w:marBottom w:val="0"/>
          <w:divBdr>
            <w:top w:val="none" w:sz="0" w:space="0" w:color="auto"/>
            <w:left w:val="none" w:sz="0" w:space="0" w:color="auto"/>
            <w:bottom w:val="none" w:sz="0" w:space="0" w:color="auto"/>
            <w:right w:val="none" w:sz="0" w:space="0" w:color="auto"/>
          </w:divBdr>
        </w:div>
        <w:div w:id="1720936579">
          <w:marLeft w:val="0"/>
          <w:marRight w:val="0"/>
          <w:marTop w:val="0"/>
          <w:marBottom w:val="0"/>
          <w:divBdr>
            <w:top w:val="none" w:sz="0" w:space="0" w:color="auto"/>
            <w:left w:val="none" w:sz="0" w:space="0" w:color="auto"/>
            <w:bottom w:val="none" w:sz="0" w:space="0" w:color="auto"/>
            <w:right w:val="none" w:sz="0" w:space="0" w:color="auto"/>
          </w:divBdr>
        </w:div>
        <w:div w:id="1394623">
          <w:marLeft w:val="0"/>
          <w:marRight w:val="0"/>
          <w:marTop w:val="0"/>
          <w:marBottom w:val="0"/>
          <w:divBdr>
            <w:top w:val="none" w:sz="0" w:space="0" w:color="auto"/>
            <w:left w:val="none" w:sz="0" w:space="0" w:color="auto"/>
            <w:bottom w:val="none" w:sz="0" w:space="0" w:color="auto"/>
            <w:right w:val="none" w:sz="0" w:space="0" w:color="auto"/>
          </w:divBdr>
        </w:div>
        <w:div w:id="2098016725">
          <w:marLeft w:val="0"/>
          <w:marRight w:val="0"/>
          <w:marTop w:val="0"/>
          <w:marBottom w:val="0"/>
          <w:divBdr>
            <w:top w:val="none" w:sz="0" w:space="0" w:color="auto"/>
            <w:left w:val="none" w:sz="0" w:space="0" w:color="auto"/>
            <w:bottom w:val="none" w:sz="0" w:space="0" w:color="auto"/>
            <w:right w:val="none" w:sz="0" w:space="0" w:color="auto"/>
          </w:divBdr>
        </w:div>
        <w:div w:id="1220164457">
          <w:marLeft w:val="0"/>
          <w:marRight w:val="0"/>
          <w:marTop w:val="0"/>
          <w:marBottom w:val="0"/>
          <w:divBdr>
            <w:top w:val="none" w:sz="0" w:space="0" w:color="auto"/>
            <w:left w:val="none" w:sz="0" w:space="0" w:color="auto"/>
            <w:bottom w:val="none" w:sz="0" w:space="0" w:color="auto"/>
            <w:right w:val="none" w:sz="0" w:space="0" w:color="auto"/>
          </w:divBdr>
        </w:div>
        <w:div w:id="1000541244">
          <w:marLeft w:val="0"/>
          <w:marRight w:val="0"/>
          <w:marTop w:val="0"/>
          <w:marBottom w:val="0"/>
          <w:divBdr>
            <w:top w:val="none" w:sz="0" w:space="0" w:color="auto"/>
            <w:left w:val="none" w:sz="0" w:space="0" w:color="auto"/>
            <w:bottom w:val="none" w:sz="0" w:space="0" w:color="auto"/>
            <w:right w:val="none" w:sz="0" w:space="0" w:color="auto"/>
          </w:divBdr>
        </w:div>
        <w:div w:id="1821845138">
          <w:marLeft w:val="0"/>
          <w:marRight w:val="0"/>
          <w:marTop w:val="0"/>
          <w:marBottom w:val="0"/>
          <w:divBdr>
            <w:top w:val="none" w:sz="0" w:space="0" w:color="auto"/>
            <w:left w:val="none" w:sz="0" w:space="0" w:color="auto"/>
            <w:bottom w:val="none" w:sz="0" w:space="0" w:color="auto"/>
            <w:right w:val="none" w:sz="0" w:space="0" w:color="auto"/>
          </w:divBdr>
        </w:div>
        <w:div w:id="1093361501">
          <w:marLeft w:val="0"/>
          <w:marRight w:val="0"/>
          <w:marTop w:val="0"/>
          <w:marBottom w:val="0"/>
          <w:divBdr>
            <w:top w:val="none" w:sz="0" w:space="0" w:color="auto"/>
            <w:left w:val="none" w:sz="0" w:space="0" w:color="auto"/>
            <w:bottom w:val="none" w:sz="0" w:space="0" w:color="auto"/>
            <w:right w:val="none" w:sz="0" w:space="0" w:color="auto"/>
          </w:divBdr>
        </w:div>
        <w:div w:id="470561235">
          <w:marLeft w:val="0"/>
          <w:marRight w:val="0"/>
          <w:marTop w:val="0"/>
          <w:marBottom w:val="0"/>
          <w:divBdr>
            <w:top w:val="none" w:sz="0" w:space="0" w:color="auto"/>
            <w:left w:val="none" w:sz="0" w:space="0" w:color="auto"/>
            <w:bottom w:val="none" w:sz="0" w:space="0" w:color="auto"/>
            <w:right w:val="none" w:sz="0" w:space="0" w:color="auto"/>
          </w:divBdr>
        </w:div>
        <w:div w:id="2146314612">
          <w:marLeft w:val="0"/>
          <w:marRight w:val="0"/>
          <w:marTop w:val="0"/>
          <w:marBottom w:val="0"/>
          <w:divBdr>
            <w:top w:val="none" w:sz="0" w:space="0" w:color="auto"/>
            <w:left w:val="none" w:sz="0" w:space="0" w:color="auto"/>
            <w:bottom w:val="none" w:sz="0" w:space="0" w:color="auto"/>
            <w:right w:val="none" w:sz="0" w:space="0" w:color="auto"/>
          </w:divBdr>
        </w:div>
        <w:div w:id="1690445312">
          <w:marLeft w:val="0"/>
          <w:marRight w:val="0"/>
          <w:marTop w:val="0"/>
          <w:marBottom w:val="0"/>
          <w:divBdr>
            <w:top w:val="none" w:sz="0" w:space="0" w:color="auto"/>
            <w:left w:val="none" w:sz="0" w:space="0" w:color="auto"/>
            <w:bottom w:val="none" w:sz="0" w:space="0" w:color="auto"/>
            <w:right w:val="none" w:sz="0" w:space="0" w:color="auto"/>
          </w:divBdr>
        </w:div>
        <w:div w:id="175790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CFAF9D32.dotm</Template>
  <TotalTime>0</TotalTime>
  <Pages>2</Pages>
  <Words>463</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Ralf Maier-Geißer</dc:creator>
  <cp:lastModifiedBy>Hauser, Petra</cp:lastModifiedBy>
  <cp:revision>7</cp:revision>
  <cp:lastPrinted>2019-09-25T17:53:00Z</cp:lastPrinted>
  <dcterms:created xsi:type="dcterms:W3CDTF">2019-09-16T12:03:00Z</dcterms:created>
  <dcterms:modified xsi:type="dcterms:W3CDTF">2019-09-25T17:54:00Z</dcterms:modified>
</cp:coreProperties>
</file>