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DE6D80">
        <w:t>2</w:t>
      </w:r>
      <w:r w:rsidRPr="006E0575">
        <w:t xml:space="preserve"> zur GRDrs </w:t>
      </w:r>
      <w:r w:rsidR="00DE6D80">
        <w:t>1268</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270629">
        <w:rPr>
          <w:b/>
          <w:sz w:val="36"/>
          <w:szCs w:val="36"/>
          <w:u w:val="single"/>
        </w:rPr>
        <w:t>2</w:t>
      </w:r>
    </w:p>
    <w:p w:rsidR="003D7B0B" w:rsidRDefault="003D7B0B"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14"/>
        <w:gridCol w:w="1701"/>
        <w:gridCol w:w="794"/>
        <w:gridCol w:w="1928"/>
        <w:gridCol w:w="737"/>
        <w:gridCol w:w="1134"/>
        <w:gridCol w:w="1417"/>
      </w:tblGrid>
      <w:tr w:rsidR="00683C01" w:rsidTr="009B0732">
        <w:trPr>
          <w:cantSplit/>
          <w:tblHeader/>
        </w:trPr>
        <w:tc>
          <w:tcPr>
            <w:tcW w:w="1814" w:type="dxa"/>
            <w:tcBorders>
              <w:top w:val="single" w:sz="4" w:space="0" w:color="auto"/>
              <w:left w:val="single" w:sz="4" w:space="0" w:color="auto"/>
              <w:bottom w:val="single" w:sz="4" w:space="0" w:color="auto"/>
              <w:right w:val="single" w:sz="4" w:space="0" w:color="auto"/>
            </w:tcBorders>
            <w:shd w:val="pct12" w:color="auto" w:fill="FFFFFF"/>
            <w:hideMark/>
          </w:tcPr>
          <w:p w:rsidR="00683C01" w:rsidRDefault="00683C01">
            <w:pPr>
              <w:spacing w:before="120" w:after="120" w:line="200" w:lineRule="exact"/>
              <w:ind w:right="-85"/>
              <w:rPr>
                <w:sz w:val="16"/>
                <w:szCs w:val="16"/>
              </w:rPr>
            </w:pPr>
            <w:r>
              <w:rPr>
                <w:sz w:val="16"/>
                <w:szCs w:val="16"/>
              </w:rPr>
              <w:t>Org.-Einheit,</w:t>
            </w:r>
          </w:p>
          <w:p w:rsidR="00683C01" w:rsidRDefault="00683C01">
            <w:pPr>
              <w:spacing w:before="120" w:after="120" w:line="200" w:lineRule="exact"/>
              <w:ind w:right="-85"/>
              <w:rPr>
                <w:sz w:val="16"/>
                <w:szCs w:val="16"/>
              </w:rPr>
            </w:pPr>
            <w:r>
              <w:rPr>
                <w:sz w:val="16"/>
                <w:szCs w:val="16"/>
              </w:rPr>
              <w:t>Kostenstelle</w:t>
            </w:r>
          </w:p>
        </w:tc>
        <w:tc>
          <w:tcPr>
            <w:tcW w:w="1701" w:type="dxa"/>
            <w:tcBorders>
              <w:top w:val="single" w:sz="4" w:space="0" w:color="auto"/>
              <w:left w:val="single" w:sz="4" w:space="0" w:color="auto"/>
              <w:bottom w:val="single" w:sz="4" w:space="0" w:color="auto"/>
              <w:right w:val="single" w:sz="4" w:space="0" w:color="auto"/>
            </w:tcBorders>
            <w:shd w:val="pct12" w:color="auto" w:fill="FFFFFF"/>
            <w:hideMark/>
          </w:tcPr>
          <w:p w:rsidR="00683C01" w:rsidRDefault="00683C01">
            <w:pPr>
              <w:spacing w:before="120" w:after="120" w:line="200" w:lineRule="exact"/>
              <w:ind w:right="-85"/>
              <w:rPr>
                <w:sz w:val="16"/>
                <w:szCs w:val="16"/>
              </w:rPr>
            </w:pPr>
            <w:r>
              <w:rPr>
                <w:sz w:val="16"/>
                <w:szCs w:val="16"/>
              </w:rPr>
              <w:t>Amt</w:t>
            </w:r>
          </w:p>
        </w:tc>
        <w:tc>
          <w:tcPr>
            <w:tcW w:w="794" w:type="dxa"/>
            <w:tcBorders>
              <w:top w:val="single" w:sz="4" w:space="0" w:color="auto"/>
              <w:left w:val="single" w:sz="4" w:space="0" w:color="auto"/>
              <w:bottom w:val="single" w:sz="4" w:space="0" w:color="auto"/>
              <w:right w:val="single" w:sz="4" w:space="0" w:color="auto"/>
            </w:tcBorders>
            <w:shd w:val="pct12" w:color="auto" w:fill="FFFFFF"/>
            <w:hideMark/>
          </w:tcPr>
          <w:p w:rsidR="00683C01" w:rsidRDefault="00683C01">
            <w:pPr>
              <w:spacing w:before="120" w:after="120" w:line="200" w:lineRule="exact"/>
              <w:ind w:right="-85"/>
              <w:rPr>
                <w:sz w:val="16"/>
                <w:szCs w:val="16"/>
              </w:rPr>
            </w:pPr>
            <w:r>
              <w:rPr>
                <w:sz w:val="16"/>
                <w:szCs w:val="16"/>
              </w:rPr>
              <w:t>BesGr.</w:t>
            </w:r>
          </w:p>
          <w:p w:rsidR="00683C01" w:rsidRDefault="00683C01">
            <w:pPr>
              <w:spacing w:before="120" w:after="120" w:line="200" w:lineRule="exact"/>
              <w:ind w:right="-85"/>
              <w:rPr>
                <w:sz w:val="16"/>
                <w:szCs w:val="16"/>
              </w:rPr>
            </w:pPr>
            <w:r>
              <w:rPr>
                <w:sz w:val="16"/>
                <w:szCs w:val="16"/>
              </w:rPr>
              <w:t>oder</w:t>
            </w:r>
          </w:p>
          <w:p w:rsidR="00683C01" w:rsidRDefault="00683C01">
            <w:pPr>
              <w:spacing w:before="120" w:after="120" w:line="200" w:lineRule="exact"/>
              <w:ind w:right="-85"/>
              <w:rPr>
                <w:sz w:val="16"/>
                <w:szCs w:val="16"/>
              </w:rPr>
            </w:pPr>
            <w:r>
              <w:rPr>
                <w:sz w:val="16"/>
                <w:szCs w:val="16"/>
              </w:rPr>
              <w:t>EG</w:t>
            </w:r>
          </w:p>
        </w:tc>
        <w:tc>
          <w:tcPr>
            <w:tcW w:w="1928" w:type="dxa"/>
            <w:tcBorders>
              <w:top w:val="single" w:sz="4" w:space="0" w:color="auto"/>
              <w:left w:val="single" w:sz="4" w:space="0" w:color="auto"/>
              <w:bottom w:val="single" w:sz="4" w:space="0" w:color="auto"/>
              <w:right w:val="single" w:sz="4" w:space="0" w:color="auto"/>
            </w:tcBorders>
            <w:shd w:val="pct12" w:color="auto" w:fill="FFFFFF"/>
            <w:hideMark/>
          </w:tcPr>
          <w:p w:rsidR="00683C01" w:rsidRDefault="00683C01">
            <w:pPr>
              <w:spacing w:before="120" w:after="120" w:line="200" w:lineRule="exact"/>
              <w:ind w:right="-85"/>
              <w:rPr>
                <w:sz w:val="16"/>
                <w:szCs w:val="16"/>
              </w:rPr>
            </w:pPr>
            <w:r>
              <w:rPr>
                <w:sz w:val="16"/>
                <w:szCs w:val="16"/>
              </w:rPr>
              <w:t>Funktions-</w:t>
            </w:r>
            <w:r>
              <w:rPr>
                <w:sz w:val="16"/>
                <w:szCs w:val="16"/>
              </w:rPr>
              <w:br/>
              <w:t>bezeichnung</w:t>
            </w:r>
          </w:p>
        </w:tc>
        <w:tc>
          <w:tcPr>
            <w:tcW w:w="737" w:type="dxa"/>
            <w:tcBorders>
              <w:top w:val="single" w:sz="4" w:space="0" w:color="auto"/>
              <w:left w:val="single" w:sz="4" w:space="0" w:color="auto"/>
              <w:bottom w:val="single" w:sz="4" w:space="0" w:color="auto"/>
              <w:right w:val="single" w:sz="4" w:space="0" w:color="auto"/>
            </w:tcBorders>
            <w:shd w:val="pct12" w:color="auto" w:fill="FFFFFF"/>
            <w:hideMark/>
          </w:tcPr>
          <w:p w:rsidR="00683C01" w:rsidRDefault="00683C01">
            <w:pPr>
              <w:spacing w:before="120" w:after="120" w:line="200" w:lineRule="exact"/>
              <w:ind w:right="-85"/>
              <w:rPr>
                <w:sz w:val="16"/>
                <w:szCs w:val="16"/>
              </w:rPr>
            </w:pPr>
            <w:r>
              <w:rPr>
                <w:sz w:val="16"/>
                <w:szCs w:val="16"/>
              </w:rPr>
              <w:t>Anzahl</w:t>
            </w:r>
            <w:r>
              <w:rPr>
                <w:sz w:val="16"/>
                <w:szCs w:val="16"/>
              </w:rPr>
              <w:br/>
              <w:t>der</w:t>
            </w:r>
            <w:r>
              <w:rPr>
                <w:sz w:val="16"/>
                <w:szCs w:val="16"/>
              </w:rPr>
              <w:br/>
              <w:t>Stellen</w:t>
            </w:r>
          </w:p>
        </w:tc>
        <w:tc>
          <w:tcPr>
            <w:tcW w:w="1134" w:type="dxa"/>
            <w:tcBorders>
              <w:top w:val="single" w:sz="4" w:space="0" w:color="auto"/>
              <w:left w:val="single" w:sz="4" w:space="0" w:color="auto"/>
              <w:bottom w:val="single" w:sz="4" w:space="0" w:color="auto"/>
              <w:right w:val="single" w:sz="4" w:space="0" w:color="auto"/>
            </w:tcBorders>
            <w:shd w:val="pct12" w:color="auto" w:fill="FFFFFF"/>
            <w:hideMark/>
          </w:tcPr>
          <w:p w:rsidR="00683C01" w:rsidRDefault="00683C01">
            <w:pPr>
              <w:spacing w:before="120" w:after="120" w:line="200" w:lineRule="exact"/>
              <w:ind w:right="-85"/>
              <w:rPr>
                <w:sz w:val="16"/>
                <w:szCs w:val="16"/>
              </w:rPr>
            </w:pPr>
            <w:r>
              <w:rPr>
                <w:sz w:val="16"/>
                <w:szCs w:val="16"/>
              </w:rPr>
              <w:t>Stellen-</w:t>
            </w:r>
            <w:r>
              <w:rPr>
                <w:sz w:val="16"/>
                <w:szCs w:val="16"/>
              </w:rPr>
              <w:br/>
              <w:t>vermerk</w:t>
            </w:r>
          </w:p>
        </w:tc>
        <w:tc>
          <w:tcPr>
            <w:tcW w:w="1417" w:type="dxa"/>
            <w:tcBorders>
              <w:top w:val="single" w:sz="4" w:space="0" w:color="auto"/>
              <w:left w:val="single" w:sz="4" w:space="0" w:color="auto"/>
              <w:bottom w:val="single" w:sz="4" w:space="0" w:color="auto"/>
              <w:right w:val="single" w:sz="4" w:space="0" w:color="auto"/>
            </w:tcBorders>
            <w:shd w:val="pct12" w:color="auto" w:fill="FFFFFF"/>
            <w:hideMark/>
          </w:tcPr>
          <w:p w:rsidR="00683C01" w:rsidRDefault="00683C01">
            <w:pPr>
              <w:spacing w:before="120" w:after="120" w:line="200" w:lineRule="exact"/>
              <w:ind w:right="-85"/>
              <w:rPr>
                <w:sz w:val="16"/>
                <w:szCs w:val="16"/>
              </w:rPr>
            </w:pPr>
            <w:r>
              <w:rPr>
                <w:sz w:val="16"/>
                <w:szCs w:val="16"/>
              </w:rPr>
              <w:t>durchschnittl.</w:t>
            </w:r>
            <w:r>
              <w:rPr>
                <w:sz w:val="16"/>
                <w:szCs w:val="16"/>
              </w:rPr>
              <w:br/>
              <w:t>jährl. kosten-</w:t>
            </w:r>
            <w:r>
              <w:rPr>
                <w:sz w:val="16"/>
                <w:szCs w:val="16"/>
              </w:rPr>
              <w:br/>
              <w:t xml:space="preserve">wirksamer </w:t>
            </w:r>
            <w:r>
              <w:rPr>
                <w:sz w:val="16"/>
                <w:szCs w:val="16"/>
              </w:rPr>
              <w:br/>
              <w:t xml:space="preserve">Aufwand </w:t>
            </w:r>
            <w:r>
              <w:rPr>
                <w:sz w:val="16"/>
                <w:szCs w:val="16"/>
              </w:rPr>
              <w:br/>
              <w:t>in Euro</w:t>
            </w:r>
          </w:p>
        </w:tc>
      </w:tr>
      <w:tr w:rsidR="00DE6D80" w:rsidRPr="00DE6D80" w:rsidTr="009B0732">
        <w:tc>
          <w:tcPr>
            <w:tcW w:w="1814" w:type="dxa"/>
            <w:tcBorders>
              <w:top w:val="single" w:sz="4" w:space="0" w:color="auto"/>
              <w:left w:val="single" w:sz="4" w:space="0" w:color="auto"/>
              <w:bottom w:val="nil"/>
              <w:right w:val="single" w:sz="4" w:space="0" w:color="auto"/>
            </w:tcBorders>
          </w:tcPr>
          <w:p w:rsidR="009B0732" w:rsidRPr="00DE6D80" w:rsidRDefault="009B0732" w:rsidP="0096124D">
            <w:pPr>
              <w:rPr>
                <w:sz w:val="20"/>
              </w:rPr>
            </w:pPr>
          </w:p>
          <w:p w:rsidR="009B0732" w:rsidRPr="00DE6D80" w:rsidRDefault="009B0732" w:rsidP="0096124D">
            <w:pPr>
              <w:rPr>
                <w:sz w:val="20"/>
              </w:rPr>
            </w:pPr>
          </w:p>
          <w:p w:rsidR="009B0732" w:rsidRDefault="009B0732" w:rsidP="0096124D">
            <w:pPr>
              <w:rPr>
                <w:sz w:val="20"/>
              </w:rPr>
            </w:pPr>
          </w:p>
          <w:p w:rsidR="00DE6D80" w:rsidRPr="00DE6D80" w:rsidRDefault="00DE6D80" w:rsidP="0096124D">
            <w:pPr>
              <w:rPr>
                <w:sz w:val="20"/>
              </w:rPr>
            </w:pPr>
          </w:p>
          <w:p w:rsidR="00732F21" w:rsidRPr="00DE6D80" w:rsidRDefault="00732F21" w:rsidP="0096124D">
            <w:pPr>
              <w:rPr>
                <w:sz w:val="20"/>
              </w:rPr>
            </w:pPr>
          </w:p>
          <w:p w:rsidR="009B0732" w:rsidRPr="00DE6D80" w:rsidRDefault="009B0732" w:rsidP="0096124D">
            <w:pPr>
              <w:rPr>
                <w:sz w:val="20"/>
              </w:rPr>
            </w:pPr>
            <w:r w:rsidRPr="00DE6D80">
              <w:rPr>
                <w:sz w:val="20"/>
              </w:rPr>
              <w:t>32-12</w:t>
            </w:r>
          </w:p>
          <w:p w:rsidR="009B0732" w:rsidRPr="00DE6D80" w:rsidRDefault="009B0732" w:rsidP="0096124D">
            <w:pPr>
              <w:rPr>
                <w:sz w:val="20"/>
              </w:rPr>
            </w:pPr>
          </w:p>
          <w:p w:rsidR="009B0732" w:rsidRPr="00DE6D80" w:rsidRDefault="009B0732" w:rsidP="0096124D">
            <w:pPr>
              <w:rPr>
                <w:sz w:val="20"/>
              </w:rPr>
            </w:pPr>
            <w:r w:rsidRPr="00DE6D80">
              <w:rPr>
                <w:sz w:val="20"/>
              </w:rPr>
              <w:t>32</w:t>
            </w:r>
            <w:r w:rsidR="001C6E2C">
              <w:rPr>
                <w:sz w:val="20"/>
              </w:rPr>
              <w:t>32 1100</w:t>
            </w:r>
          </w:p>
          <w:p w:rsidR="009B0732" w:rsidRPr="00DE6D80" w:rsidRDefault="009B0732" w:rsidP="0096124D">
            <w:pPr>
              <w:rPr>
                <w:sz w:val="20"/>
              </w:rPr>
            </w:pPr>
          </w:p>
        </w:tc>
        <w:tc>
          <w:tcPr>
            <w:tcW w:w="1701" w:type="dxa"/>
            <w:tcBorders>
              <w:top w:val="single" w:sz="4" w:space="0" w:color="auto"/>
              <w:left w:val="single" w:sz="4" w:space="0" w:color="auto"/>
              <w:bottom w:val="nil"/>
              <w:right w:val="single" w:sz="4" w:space="0" w:color="auto"/>
            </w:tcBorders>
          </w:tcPr>
          <w:p w:rsidR="009B0732" w:rsidRPr="00DE6D80" w:rsidRDefault="009B0732" w:rsidP="0096124D">
            <w:pPr>
              <w:rPr>
                <w:sz w:val="20"/>
              </w:rPr>
            </w:pPr>
          </w:p>
          <w:p w:rsidR="00DE6D80" w:rsidRPr="00DE6D80" w:rsidRDefault="00DE6D80" w:rsidP="0096124D">
            <w:pPr>
              <w:rPr>
                <w:sz w:val="20"/>
              </w:rPr>
            </w:pPr>
          </w:p>
          <w:p w:rsidR="00DE6D80" w:rsidRDefault="00DE6D80" w:rsidP="0096124D">
            <w:pPr>
              <w:rPr>
                <w:sz w:val="20"/>
              </w:rPr>
            </w:pPr>
          </w:p>
          <w:p w:rsidR="00DE6D80" w:rsidRPr="00DE6D80" w:rsidRDefault="00DE6D80" w:rsidP="0096124D">
            <w:pPr>
              <w:rPr>
                <w:sz w:val="20"/>
              </w:rPr>
            </w:pPr>
          </w:p>
          <w:p w:rsidR="00DE6D80" w:rsidRPr="00DE6D80" w:rsidRDefault="00DE6D80" w:rsidP="0096124D">
            <w:pPr>
              <w:rPr>
                <w:sz w:val="20"/>
              </w:rPr>
            </w:pPr>
          </w:p>
          <w:p w:rsidR="009B0732" w:rsidRPr="00DE6D80" w:rsidRDefault="009B0732" w:rsidP="0096124D">
            <w:pPr>
              <w:rPr>
                <w:sz w:val="20"/>
              </w:rPr>
            </w:pPr>
            <w:r w:rsidRPr="00DE6D80">
              <w:rPr>
                <w:sz w:val="20"/>
              </w:rPr>
              <w:t>Amt für öffentliche Ordnung</w:t>
            </w:r>
          </w:p>
        </w:tc>
        <w:tc>
          <w:tcPr>
            <w:tcW w:w="794" w:type="dxa"/>
            <w:tcBorders>
              <w:top w:val="single" w:sz="4" w:space="0" w:color="auto"/>
              <w:left w:val="single" w:sz="4" w:space="0" w:color="auto"/>
              <w:bottom w:val="nil"/>
              <w:right w:val="single" w:sz="4" w:space="0" w:color="auto"/>
            </w:tcBorders>
          </w:tcPr>
          <w:p w:rsidR="009B0732" w:rsidRPr="00DE6D80" w:rsidRDefault="009B0732" w:rsidP="0096124D">
            <w:pPr>
              <w:rPr>
                <w:sz w:val="20"/>
              </w:rPr>
            </w:pPr>
          </w:p>
          <w:p w:rsidR="009B0732" w:rsidRPr="00DE6D80" w:rsidRDefault="009B0732" w:rsidP="0096124D">
            <w:pPr>
              <w:rPr>
                <w:sz w:val="20"/>
              </w:rPr>
            </w:pPr>
          </w:p>
          <w:p w:rsidR="009B0732" w:rsidRDefault="009B0732" w:rsidP="0096124D">
            <w:pPr>
              <w:rPr>
                <w:sz w:val="20"/>
              </w:rPr>
            </w:pPr>
          </w:p>
          <w:p w:rsidR="00DE6D80" w:rsidRPr="00DE6D80" w:rsidRDefault="00DE6D80" w:rsidP="0096124D">
            <w:pPr>
              <w:rPr>
                <w:sz w:val="20"/>
              </w:rPr>
            </w:pPr>
          </w:p>
          <w:p w:rsidR="00732F21" w:rsidRPr="00DE6D80" w:rsidRDefault="00732F21" w:rsidP="0096124D">
            <w:pPr>
              <w:rPr>
                <w:sz w:val="20"/>
              </w:rPr>
            </w:pPr>
          </w:p>
          <w:p w:rsidR="009B0732" w:rsidRPr="00DE6D80" w:rsidRDefault="009B0732" w:rsidP="0096124D">
            <w:pPr>
              <w:rPr>
                <w:sz w:val="20"/>
              </w:rPr>
            </w:pPr>
            <w:r w:rsidRPr="00DE6D80">
              <w:rPr>
                <w:sz w:val="20"/>
              </w:rPr>
              <w:t>A 8</w:t>
            </w:r>
          </w:p>
        </w:tc>
        <w:tc>
          <w:tcPr>
            <w:tcW w:w="1928" w:type="dxa"/>
            <w:tcBorders>
              <w:top w:val="single" w:sz="4" w:space="0" w:color="auto"/>
              <w:left w:val="single" w:sz="4" w:space="0" w:color="auto"/>
              <w:bottom w:val="nil"/>
              <w:right w:val="single" w:sz="4" w:space="0" w:color="auto"/>
            </w:tcBorders>
          </w:tcPr>
          <w:p w:rsidR="009B0732" w:rsidRPr="00DE6D80" w:rsidRDefault="009B0732" w:rsidP="0096124D">
            <w:pPr>
              <w:rPr>
                <w:sz w:val="20"/>
              </w:rPr>
            </w:pPr>
          </w:p>
          <w:p w:rsidR="009B0732" w:rsidRDefault="009B0732" w:rsidP="0096124D">
            <w:pPr>
              <w:rPr>
                <w:sz w:val="20"/>
              </w:rPr>
            </w:pPr>
          </w:p>
          <w:p w:rsidR="00DE6D80" w:rsidRPr="00DE6D80" w:rsidRDefault="00DE6D80" w:rsidP="0096124D">
            <w:pPr>
              <w:rPr>
                <w:sz w:val="20"/>
              </w:rPr>
            </w:pPr>
          </w:p>
          <w:p w:rsidR="00732F21" w:rsidRPr="00DE6D80" w:rsidRDefault="00732F21" w:rsidP="0096124D">
            <w:pPr>
              <w:rPr>
                <w:sz w:val="20"/>
              </w:rPr>
            </w:pPr>
          </w:p>
          <w:p w:rsidR="009B0732" w:rsidRPr="00DE6D80" w:rsidRDefault="009B0732" w:rsidP="0096124D">
            <w:pPr>
              <w:rPr>
                <w:sz w:val="20"/>
              </w:rPr>
            </w:pPr>
          </w:p>
          <w:p w:rsidR="009B0732" w:rsidRPr="00DE6D80" w:rsidRDefault="009B0732" w:rsidP="0096124D">
            <w:pPr>
              <w:rPr>
                <w:sz w:val="20"/>
              </w:rPr>
            </w:pPr>
            <w:r w:rsidRPr="00DE6D80">
              <w:rPr>
                <w:sz w:val="20"/>
              </w:rPr>
              <w:t>Sachbearbeiter/</w:t>
            </w:r>
            <w:r w:rsidR="00DE6D80" w:rsidRPr="00DE6D80">
              <w:rPr>
                <w:sz w:val="20"/>
              </w:rPr>
              <w:t>-</w:t>
            </w:r>
            <w:r w:rsidRPr="00DE6D80">
              <w:rPr>
                <w:sz w:val="20"/>
              </w:rPr>
              <w:t>in Bußgeldstelle</w:t>
            </w:r>
          </w:p>
        </w:tc>
        <w:tc>
          <w:tcPr>
            <w:tcW w:w="737" w:type="dxa"/>
            <w:tcBorders>
              <w:top w:val="single" w:sz="4" w:space="0" w:color="auto"/>
              <w:left w:val="single" w:sz="4" w:space="0" w:color="auto"/>
              <w:bottom w:val="nil"/>
              <w:right w:val="single" w:sz="4" w:space="0" w:color="auto"/>
            </w:tcBorders>
            <w:shd w:val="clear" w:color="auto" w:fill="auto"/>
          </w:tcPr>
          <w:p w:rsidR="009B0732" w:rsidRPr="00DE6D80" w:rsidRDefault="009B0732" w:rsidP="0096124D">
            <w:pPr>
              <w:rPr>
                <w:sz w:val="20"/>
              </w:rPr>
            </w:pPr>
          </w:p>
          <w:p w:rsidR="009B0732" w:rsidRDefault="009B0732" w:rsidP="0096124D">
            <w:pPr>
              <w:rPr>
                <w:sz w:val="20"/>
              </w:rPr>
            </w:pPr>
          </w:p>
          <w:p w:rsidR="00DE6D80" w:rsidRPr="00DE6D80" w:rsidRDefault="00DE6D80" w:rsidP="0096124D">
            <w:pPr>
              <w:rPr>
                <w:sz w:val="20"/>
              </w:rPr>
            </w:pPr>
          </w:p>
          <w:p w:rsidR="009B0732" w:rsidRPr="00DE6D80" w:rsidRDefault="009B0732" w:rsidP="0096124D">
            <w:pPr>
              <w:rPr>
                <w:sz w:val="20"/>
              </w:rPr>
            </w:pPr>
          </w:p>
          <w:p w:rsidR="00732F21" w:rsidRPr="00DE6D80" w:rsidRDefault="00732F21" w:rsidP="0096124D">
            <w:pPr>
              <w:rPr>
                <w:sz w:val="20"/>
              </w:rPr>
            </w:pPr>
          </w:p>
          <w:p w:rsidR="009B0732" w:rsidRPr="00DE6D80" w:rsidRDefault="00732F21" w:rsidP="0096124D">
            <w:pPr>
              <w:rPr>
                <w:sz w:val="20"/>
              </w:rPr>
            </w:pPr>
            <w:r w:rsidRPr="00DE6D80">
              <w:rPr>
                <w:sz w:val="20"/>
              </w:rPr>
              <w:t>1,63</w:t>
            </w:r>
          </w:p>
        </w:tc>
        <w:tc>
          <w:tcPr>
            <w:tcW w:w="1134" w:type="dxa"/>
            <w:vMerge w:val="restart"/>
            <w:tcBorders>
              <w:top w:val="single" w:sz="4" w:space="0" w:color="auto"/>
              <w:left w:val="single" w:sz="4" w:space="0" w:color="auto"/>
              <w:bottom w:val="nil"/>
              <w:right w:val="single" w:sz="4" w:space="0" w:color="auto"/>
            </w:tcBorders>
            <w:vAlign w:val="center"/>
          </w:tcPr>
          <w:p w:rsidR="00732F21" w:rsidRPr="00DE6D80" w:rsidRDefault="009B0732" w:rsidP="00FC723B">
            <w:pPr>
              <w:rPr>
                <w:sz w:val="20"/>
              </w:rPr>
            </w:pPr>
            <w:r w:rsidRPr="00DE6D80">
              <w:rPr>
                <w:sz w:val="20"/>
              </w:rPr>
              <w:t xml:space="preserve">Besetzungsvorbehalt </w:t>
            </w:r>
            <w:r w:rsidR="00DE6D80">
              <w:rPr>
                <w:sz w:val="20"/>
              </w:rPr>
              <w:br/>
              <w:t>i. H. v.</w:t>
            </w:r>
          </w:p>
          <w:p w:rsidR="00732F21" w:rsidRPr="00DE6D80" w:rsidRDefault="00732F21" w:rsidP="00FC723B">
            <w:pPr>
              <w:rPr>
                <w:sz w:val="20"/>
              </w:rPr>
            </w:pPr>
          </w:p>
          <w:p w:rsidR="00732F21" w:rsidRPr="00DE6D80" w:rsidRDefault="00732F21" w:rsidP="00FC723B">
            <w:pPr>
              <w:rPr>
                <w:sz w:val="20"/>
              </w:rPr>
            </w:pPr>
            <w:r w:rsidRPr="00DE6D80">
              <w:rPr>
                <w:sz w:val="20"/>
              </w:rPr>
              <w:t>0,72</w:t>
            </w:r>
          </w:p>
          <w:p w:rsidR="00732F21" w:rsidRPr="00DE6D80" w:rsidRDefault="00732F21" w:rsidP="00FC723B">
            <w:pPr>
              <w:rPr>
                <w:sz w:val="20"/>
              </w:rPr>
            </w:pPr>
          </w:p>
          <w:p w:rsidR="00732F21" w:rsidRPr="00DE6D80" w:rsidRDefault="00732F21" w:rsidP="00FC723B">
            <w:pPr>
              <w:rPr>
                <w:sz w:val="20"/>
              </w:rPr>
            </w:pPr>
          </w:p>
          <w:p w:rsidR="00732F21" w:rsidRPr="00DE6D80" w:rsidRDefault="00732F21" w:rsidP="00FC723B">
            <w:pPr>
              <w:rPr>
                <w:sz w:val="20"/>
              </w:rPr>
            </w:pPr>
          </w:p>
          <w:p w:rsidR="00732F21" w:rsidRPr="00DE6D80" w:rsidRDefault="00732F21" w:rsidP="00FC723B">
            <w:pPr>
              <w:rPr>
                <w:sz w:val="20"/>
              </w:rPr>
            </w:pPr>
          </w:p>
          <w:p w:rsidR="00732F21" w:rsidRPr="00DE6D80" w:rsidRDefault="00732F21" w:rsidP="00FC723B">
            <w:pPr>
              <w:rPr>
                <w:sz w:val="20"/>
              </w:rPr>
            </w:pPr>
            <w:r w:rsidRPr="00DE6D80">
              <w:rPr>
                <w:sz w:val="20"/>
              </w:rPr>
              <w:t>0,36</w:t>
            </w:r>
          </w:p>
          <w:p w:rsidR="00732F21" w:rsidRPr="00DE6D80" w:rsidRDefault="00732F21" w:rsidP="00FC723B">
            <w:pPr>
              <w:rPr>
                <w:sz w:val="20"/>
              </w:rPr>
            </w:pPr>
          </w:p>
          <w:p w:rsidR="00732F21" w:rsidRPr="00DE6D80" w:rsidRDefault="00732F21" w:rsidP="00FC723B">
            <w:pPr>
              <w:rPr>
                <w:sz w:val="20"/>
              </w:rPr>
            </w:pPr>
          </w:p>
          <w:p w:rsidR="00732F21" w:rsidRPr="00DE6D80" w:rsidRDefault="00732F21" w:rsidP="00FC723B">
            <w:pPr>
              <w:rPr>
                <w:sz w:val="20"/>
              </w:rPr>
            </w:pPr>
          </w:p>
          <w:p w:rsidR="00732F21" w:rsidRPr="00DE6D80" w:rsidRDefault="00732F21" w:rsidP="00FC723B">
            <w:pPr>
              <w:rPr>
                <w:sz w:val="20"/>
              </w:rPr>
            </w:pPr>
          </w:p>
          <w:p w:rsidR="00732F21" w:rsidRPr="00DE6D80" w:rsidRDefault="00732F21" w:rsidP="00FC723B">
            <w:pPr>
              <w:rPr>
                <w:sz w:val="20"/>
              </w:rPr>
            </w:pPr>
            <w:r w:rsidRPr="00DE6D80">
              <w:rPr>
                <w:sz w:val="20"/>
              </w:rPr>
              <w:t>4,50</w:t>
            </w:r>
          </w:p>
          <w:p w:rsidR="00732F21" w:rsidRPr="00DE6D80" w:rsidRDefault="00732F21" w:rsidP="00FC723B">
            <w:pPr>
              <w:rPr>
                <w:sz w:val="20"/>
              </w:rPr>
            </w:pPr>
          </w:p>
          <w:p w:rsidR="00732F21" w:rsidRPr="00DE6D80" w:rsidRDefault="00732F21" w:rsidP="00FC723B">
            <w:pPr>
              <w:rPr>
                <w:sz w:val="20"/>
              </w:rPr>
            </w:pPr>
          </w:p>
          <w:p w:rsidR="00732F21" w:rsidRPr="00DE6D80" w:rsidRDefault="00732F21" w:rsidP="00732F21">
            <w:pPr>
              <w:rPr>
                <w:sz w:val="20"/>
              </w:rPr>
            </w:pPr>
          </w:p>
        </w:tc>
        <w:tc>
          <w:tcPr>
            <w:tcW w:w="1417" w:type="dxa"/>
            <w:tcBorders>
              <w:top w:val="single" w:sz="4" w:space="0" w:color="auto"/>
              <w:left w:val="single" w:sz="4" w:space="0" w:color="auto"/>
              <w:bottom w:val="nil"/>
              <w:right w:val="single" w:sz="4" w:space="0" w:color="auto"/>
            </w:tcBorders>
          </w:tcPr>
          <w:p w:rsidR="009B0732" w:rsidRPr="00DE6D80" w:rsidRDefault="009B0732" w:rsidP="00DE6D80">
            <w:pPr>
              <w:rPr>
                <w:sz w:val="20"/>
              </w:rPr>
            </w:pPr>
          </w:p>
          <w:p w:rsidR="009B0732" w:rsidRPr="00DE6D80" w:rsidRDefault="009B0732" w:rsidP="00DE6D80">
            <w:pPr>
              <w:rPr>
                <w:sz w:val="20"/>
              </w:rPr>
            </w:pPr>
          </w:p>
          <w:p w:rsidR="009B0732" w:rsidRPr="00DE6D80" w:rsidRDefault="009B0732" w:rsidP="00DE6D80">
            <w:pPr>
              <w:rPr>
                <w:sz w:val="20"/>
              </w:rPr>
            </w:pPr>
          </w:p>
          <w:p w:rsidR="00DE6D80" w:rsidRPr="00DE6D80" w:rsidRDefault="00DE6D80" w:rsidP="00DE6D80">
            <w:pPr>
              <w:rPr>
                <w:sz w:val="20"/>
              </w:rPr>
            </w:pPr>
          </w:p>
          <w:p w:rsidR="00DE6D80" w:rsidRPr="00DE6D80" w:rsidRDefault="00DE6D80" w:rsidP="00DE6D80">
            <w:pPr>
              <w:rPr>
                <w:sz w:val="20"/>
              </w:rPr>
            </w:pPr>
          </w:p>
          <w:p w:rsidR="00DE6D80" w:rsidRPr="00DE6D80" w:rsidRDefault="001826E1" w:rsidP="00DE6D80">
            <w:pPr>
              <w:rPr>
                <w:sz w:val="20"/>
              </w:rPr>
            </w:pPr>
            <w:r>
              <w:rPr>
                <w:sz w:val="20"/>
              </w:rPr>
              <w:t>125.836</w:t>
            </w:r>
          </w:p>
          <w:p w:rsidR="009B0732" w:rsidRPr="00DE6D80" w:rsidRDefault="009B0732" w:rsidP="001826E1">
            <w:pPr>
              <w:rPr>
                <w:i/>
                <w:sz w:val="20"/>
              </w:rPr>
            </w:pPr>
          </w:p>
        </w:tc>
      </w:tr>
      <w:tr w:rsidR="009B0732" w:rsidTr="009B0732">
        <w:tc>
          <w:tcPr>
            <w:tcW w:w="1814" w:type="dxa"/>
            <w:tcBorders>
              <w:top w:val="nil"/>
              <w:left w:val="single" w:sz="4" w:space="0" w:color="auto"/>
              <w:bottom w:val="nil"/>
              <w:right w:val="single" w:sz="4" w:space="0" w:color="auto"/>
            </w:tcBorders>
          </w:tcPr>
          <w:p w:rsidR="009B0732" w:rsidRPr="00DE6D80" w:rsidRDefault="009B0732" w:rsidP="0096124D">
            <w:pPr>
              <w:rPr>
                <w:sz w:val="20"/>
              </w:rPr>
            </w:pPr>
          </w:p>
          <w:p w:rsidR="009B0732" w:rsidRPr="00DE6D80" w:rsidRDefault="001C6E2C" w:rsidP="0096124D">
            <w:pPr>
              <w:rPr>
                <w:sz w:val="20"/>
              </w:rPr>
            </w:pPr>
            <w:r>
              <w:rPr>
                <w:sz w:val="20"/>
              </w:rPr>
              <w:t>32-12</w:t>
            </w:r>
          </w:p>
          <w:p w:rsidR="009B0732" w:rsidRPr="00DE6D80" w:rsidRDefault="009B0732" w:rsidP="0096124D">
            <w:pPr>
              <w:rPr>
                <w:sz w:val="20"/>
              </w:rPr>
            </w:pPr>
          </w:p>
          <w:p w:rsidR="009B0732" w:rsidRPr="00DE6D80" w:rsidRDefault="009B0732" w:rsidP="0096124D">
            <w:pPr>
              <w:rPr>
                <w:sz w:val="20"/>
              </w:rPr>
            </w:pPr>
            <w:r w:rsidRPr="00DE6D80">
              <w:rPr>
                <w:sz w:val="20"/>
              </w:rPr>
              <w:t>32</w:t>
            </w:r>
            <w:r w:rsidR="001C6E2C">
              <w:rPr>
                <w:sz w:val="20"/>
              </w:rPr>
              <w:t xml:space="preserve">32 1100 </w:t>
            </w:r>
          </w:p>
          <w:p w:rsidR="009B0732" w:rsidRPr="00DE6D80" w:rsidRDefault="009B0732" w:rsidP="0096124D">
            <w:pPr>
              <w:rPr>
                <w:sz w:val="20"/>
              </w:rPr>
            </w:pPr>
          </w:p>
        </w:tc>
        <w:tc>
          <w:tcPr>
            <w:tcW w:w="1701" w:type="dxa"/>
            <w:tcBorders>
              <w:top w:val="nil"/>
              <w:left w:val="single" w:sz="4" w:space="0" w:color="auto"/>
              <w:bottom w:val="nil"/>
              <w:right w:val="single" w:sz="4" w:space="0" w:color="auto"/>
            </w:tcBorders>
          </w:tcPr>
          <w:p w:rsidR="009B0732" w:rsidRPr="00DE6D80" w:rsidRDefault="009B0732" w:rsidP="0096124D">
            <w:pPr>
              <w:rPr>
                <w:sz w:val="20"/>
              </w:rPr>
            </w:pPr>
          </w:p>
        </w:tc>
        <w:tc>
          <w:tcPr>
            <w:tcW w:w="794" w:type="dxa"/>
            <w:tcBorders>
              <w:top w:val="nil"/>
              <w:left w:val="single" w:sz="4" w:space="0" w:color="auto"/>
              <w:bottom w:val="nil"/>
              <w:right w:val="single" w:sz="4" w:space="0" w:color="auto"/>
            </w:tcBorders>
          </w:tcPr>
          <w:p w:rsidR="009B0732" w:rsidRPr="00DE6D80" w:rsidRDefault="009B0732" w:rsidP="0096124D">
            <w:pPr>
              <w:rPr>
                <w:sz w:val="20"/>
              </w:rPr>
            </w:pPr>
          </w:p>
          <w:p w:rsidR="009B0732" w:rsidRPr="00DE6D80" w:rsidRDefault="009B0732" w:rsidP="0096124D">
            <w:pPr>
              <w:rPr>
                <w:sz w:val="20"/>
              </w:rPr>
            </w:pPr>
            <w:r w:rsidRPr="00DE6D80">
              <w:rPr>
                <w:sz w:val="20"/>
              </w:rPr>
              <w:t>A 10</w:t>
            </w:r>
          </w:p>
        </w:tc>
        <w:tc>
          <w:tcPr>
            <w:tcW w:w="1928" w:type="dxa"/>
            <w:tcBorders>
              <w:top w:val="nil"/>
              <w:left w:val="single" w:sz="4" w:space="0" w:color="auto"/>
              <w:bottom w:val="nil"/>
              <w:right w:val="single" w:sz="4" w:space="0" w:color="auto"/>
            </w:tcBorders>
          </w:tcPr>
          <w:p w:rsidR="009B0732" w:rsidRPr="00DE6D80" w:rsidRDefault="009B0732" w:rsidP="0096124D">
            <w:pPr>
              <w:rPr>
                <w:sz w:val="20"/>
              </w:rPr>
            </w:pPr>
          </w:p>
          <w:p w:rsidR="009B0732" w:rsidRPr="00DE6D80" w:rsidRDefault="009B0732" w:rsidP="0096124D">
            <w:pPr>
              <w:rPr>
                <w:sz w:val="20"/>
              </w:rPr>
            </w:pPr>
            <w:r w:rsidRPr="00DE6D80">
              <w:rPr>
                <w:sz w:val="20"/>
              </w:rPr>
              <w:t>Sachbearbeiter/</w:t>
            </w:r>
            <w:r w:rsidR="00DE6D80" w:rsidRPr="00DE6D80">
              <w:rPr>
                <w:sz w:val="20"/>
              </w:rPr>
              <w:t>-</w:t>
            </w:r>
            <w:r w:rsidRPr="00DE6D80">
              <w:rPr>
                <w:sz w:val="20"/>
              </w:rPr>
              <w:t>in</w:t>
            </w:r>
          </w:p>
          <w:p w:rsidR="009B0732" w:rsidRPr="00DE6D80" w:rsidRDefault="001C6E2C" w:rsidP="0096124D">
            <w:pPr>
              <w:rPr>
                <w:sz w:val="20"/>
              </w:rPr>
            </w:pPr>
            <w:r>
              <w:rPr>
                <w:sz w:val="20"/>
              </w:rPr>
              <w:t>Bußgeldstelle</w:t>
            </w:r>
          </w:p>
        </w:tc>
        <w:tc>
          <w:tcPr>
            <w:tcW w:w="737" w:type="dxa"/>
            <w:tcBorders>
              <w:top w:val="nil"/>
              <w:left w:val="single" w:sz="4" w:space="0" w:color="auto"/>
              <w:bottom w:val="nil"/>
              <w:right w:val="single" w:sz="4" w:space="0" w:color="auto"/>
            </w:tcBorders>
            <w:shd w:val="clear" w:color="auto" w:fill="auto"/>
          </w:tcPr>
          <w:p w:rsidR="009B0732" w:rsidRPr="00DE6D80" w:rsidRDefault="009B0732" w:rsidP="0096124D">
            <w:pPr>
              <w:rPr>
                <w:sz w:val="20"/>
              </w:rPr>
            </w:pPr>
          </w:p>
          <w:p w:rsidR="009B0732" w:rsidRPr="00DE6D80" w:rsidRDefault="00732F21" w:rsidP="0096124D">
            <w:pPr>
              <w:rPr>
                <w:sz w:val="20"/>
              </w:rPr>
            </w:pPr>
            <w:r w:rsidRPr="00DE6D80">
              <w:rPr>
                <w:sz w:val="20"/>
              </w:rPr>
              <w:t>0,81</w:t>
            </w:r>
          </w:p>
        </w:tc>
        <w:tc>
          <w:tcPr>
            <w:tcW w:w="1134" w:type="dxa"/>
            <w:vMerge/>
            <w:tcBorders>
              <w:top w:val="nil"/>
              <w:left w:val="single" w:sz="4" w:space="0" w:color="auto"/>
              <w:bottom w:val="nil"/>
              <w:right w:val="single" w:sz="4" w:space="0" w:color="auto"/>
            </w:tcBorders>
          </w:tcPr>
          <w:p w:rsidR="009B0732" w:rsidRPr="00DE6D80" w:rsidRDefault="009B0732" w:rsidP="00FC723B">
            <w:pPr>
              <w:rPr>
                <w:sz w:val="20"/>
              </w:rPr>
            </w:pPr>
          </w:p>
        </w:tc>
        <w:tc>
          <w:tcPr>
            <w:tcW w:w="1417" w:type="dxa"/>
            <w:tcBorders>
              <w:top w:val="nil"/>
              <w:left w:val="single" w:sz="4" w:space="0" w:color="auto"/>
              <w:bottom w:val="nil"/>
              <w:right w:val="single" w:sz="4" w:space="0" w:color="auto"/>
            </w:tcBorders>
          </w:tcPr>
          <w:p w:rsidR="009B0732" w:rsidRPr="00DE6D80" w:rsidRDefault="009B0732" w:rsidP="00DE6D80">
            <w:pPr>
              <w:rPr>
                <w:sz w:val="20"/>
              </w:rPr>
            </w:pPr>
          </w:p>
          <w:p w:rsidR="00DE6D80" w:rsidRDefault="001826E1" w:rsidP="00DE6D80">
            <w:pPr>
              <w:rPr>
                <w:sz w:val="20"/>
              </w:rPr>
            </w:pPr>
            <w:r>
              <w:rPr>
                <w:sz w:val="20"/>
              </w:rPr>
              <w:t>72.090</w:t>
            </w:r>
          </w:p>
          <w:p w:rsidR="003B2E4D" w:rsidRPr="00DE6D80" w:rsidRDefault="003B2E4D" w:rsidP="00DE6D80">
            <w:pPr>
              <w:rPr>
                <w:sz w:val="20"/>
              </w:rPr>
            </w:pPr>
          </w:p>
        </w:tc>
      </w:tr>
      <w:tr w:rsidR="009B0732" w:rsidTr="009B0732">
        <w:tc>
          <w:tcPr>
            <w:tcW w:w="1814" w:type="dxa"/>
            <w:tcBorders>
              <w:top w:val="nil"/>
              <w:left w:val="single" w:sz="4" w:space="0" w:color="auto"/>
              <w:bottom w:val="nil"/>
              <w:right w:val="single" w:sz="4" w:space="0" w:color="auto"/>
            </w:tcBorders>
          </w:tcPr>
          <w:p w:rsidR="009B0732" w:rsidRPr="00DE6D80" w:rsidRDefault="009B0732" w:rsidP="0096124D">
            <w:pPr>
              <w:rPr>
                <w:sz w:val="20"/>
              </w:rPr>
            </w:pPr>
          </w:p>
          <w:p w:rsidR="009B0732" w:rsidRPr="00DE6D80" w:rsidRDefault="009B0732" w:rsidP="0096124D">
            <w:pPr>
              <w:rPr>
                <w:sz w:val="20"/>
              </w:rPr>
            </w:pPr>
            <w:r w:rsidRPr="00DE6D80">
              <w:rPr>
                <w:sz w:val="20"/>
              </w:rPr>
              <w:t>32-32</w:t>
            </w:r>
          </w:p>
          <w:p w:rsidR="009B0732" w:rsidRPr="00DE6D80" w:rsidRDefault="009B0732" w:rsidP="0096124D">
            <w:pPr>
              <w:rPr>
                <w:sz w:val="20"/>
              </w:rPr>
            </w:pPr>
          </w:p>
          <w:p w:rsidR="009B0732" w:rsidRPr="00DE6D80" w:rsidRDefault="009B0732" w:rsidP="0096124D">
            <w:pPr>
              <w:rPr>
                <w:sz w:val="20"/>
              </w:rPr>
            </w:pPr>
            <w:r w:rsidRPr="00DE6D80">
              <w:rPr>
                <w:sz w:val="20"/>
              </w:rPr>
              <w:t>3232</w:t>
            </w:r>
            <w:r w:rsidR="001C6E2C">
              <w:rPr>
                <w:sz w:val="20"/>
              </w:rPr>
              <w:t xml:space="preserve"> 1000</w:t>
            </w:r>
          </w:p>
          <w:p w:rsidR="009B0732" w:rsidRPr="00DE6D80" w:rsidRDefault="009B0732" w:rsidP="0096124D">
            <w:pPr>
              <w:rPr>
                <w:sz w:val="20"/>
              </w:rPr>
            </w:pPr>
          </w:p>
        </w:tc>
        <w:tc>
          <w:tcPr>
            <w:tcW w:w="1701" w:type="dxa"/>
            <w:tcBorders>
              <w:top w:val="nil"/>
              <w:left w:val="single" w:sz="4" w:space="0" w:color="auto"/>
              <w:bottom w:val="nil"/>
              <w:right w:val="single" w:sz="4" w:space="0" w:color="auto"/>
            </w:tcBorders>
          </w:tcPr>
          <w:p w:rsidR="009B0732" w:rsidRPr="00DE6D80" w:rsidRDefault="009B0732" w:rsidP="0096124D">
            <w:pPr>
              <w:rPr>
                <w:sz w:val="20"/>
              </w:rPr>
            </w:pPr>
          </w:p>
          <w:p w:rsidR="009B0732" w:rsidRPr="00DE6D80" w:rsidRDefault="009B0732" w:rsidP="0096124D">
            <w:pPr>
              <w:rPr>
                <w:sz w:val="20"/>
              </w:rPr>
            </w:pPr>
          </w:p>
        </w:tc>
        <w:tc>
          <w:tcPr>
            <w:tcW w:w="794" w:type="dxa"/>
            <w:tcBorders>
              <w:top w:val="nil"/>
              <w:left w:val="single" w:sz="4" w:space="0" w:color="auto"/>
              <w:bottom w:val="nil"/>
              <w:right w:val="single" w:sz="4" w:space="0" w:color="auto"/>
            </w:tcBorders>
          </w:tcPr>
          <w:p w:rsidR="009B0732" w:rsidRPr="00DE6D80" w:rsidRDefault="009B0732" w:rsidP="0096124D">
            <w:pPr>
              <w:rPr>
                <w:sz w:val="20"/>
              </w:rPr>
            </w:pPr>
          </w:p>
          <w:p w:rsidR="009B0732" w:rsidRPr="00DE6D80" w:rsidRDefault="009B0732" w:rsidP="0096124D">
            <w:pPr>
              <w:rPr>
                <w:sz w:val="20"/>
              </w:rPr>
            </w:pPr>
            <w:r w:rsidRPr="00DE6D80">
              <w:rPr>
                <w:sz w:val="20"/>
              </w:rPr>
              <w:t>EG 6</w:t>
            </w:r>
          </w:p>
        </w:tc>
        <w:tc>
          <w:tcPr>
            <w:tcW w:w="1928" w:type="dxa"/>
            <w:tcBorders>
              <w:top w:val="nil"/>
              <w:left w:val="single" w:sz="4" w:space="0" w:color="auto"/>
              <w:bottom w:val="nil"/>
              <w:right w:val="single" w:sz="4" w:space="0" w:color="auto"/>
            </w:tcBorders>
          </w:tcPr>
          <w:p w:rsidR="009B0732" w:rsidRPr="00DE6D80" w:rsidRDefault="009B0732" w:rsidP="0096124D">
            <w:pPr>
              <w:rPr>
                <w:sz w:val="20"/>
              </w:rPr>
            </w:pPr>
          </w:p>
          <w:p w:rsidR="009B0732" w:rsidRPr="00DE6D80" w:rsidRDefault="009B0732" w:rsidP="0096124D">
            <w:pPr>
              <w:rPr>
                <w:sz w:val="20"/>
              </w:rPr>
            </w:pPr>
            <w:r w:rsidRPr="00DE6D80">
              <w:rPr>
                <w:sz w:val="20"/>
              </w:rPr>
              <w:t>Beschäftige/</w:t>
            </w:r>
            <w:r w:rsidR="00DE6D80" w:rsidRPr="00DE6D80">
              <w:rPr>
                <w:sz w:val="20"/>
              </w:rPr>
              <w:t>-</w:t>
            </w:r>
            <w:r w:rsidRPr="00DE6D80">
              <w:rPr>
                <w:sz w:val="20"/>
              </w:rPr>
              <w:t>r der Verkehrsüberwachung</w:t>
            </w:r>
          </w:p>
          <w:p w:rsidR="009B0732" w:rsidRPr="00DE6D80" w:rsidRDefault="009B0732" w:rsidP="0096124D">
            <w:pPr>
              <w:rPr>
                <w:sz w:val="20"/>
              </w:rPr>
            </w:pPr>
          </w:p>
        </w:tc>
        <w:tc>
          <w:tcPr>
            <w:tcW w:w="737" w:type="dxa"/>
            <w:tcBorders>
              <w:top w:val="nil"/>
              <w:left w:val="single" w:sz="4" w:space="0" w:color="auto"/>
              <w:bottom w:val="nil"/>
              <w:right w:val="single" w:sz="4" w:space="0" w:color="auto"/>
            </w:tcBorders>
            <w:shd w:val="clear" w:color="auto" w:fill="auto"/>
          </w:tcPr>
          <w:p w:rsidR="009B0732" w:rsidRPr="00DE6D80" w:rsidRDefault="009B0732" w:rsidP="0096124D">
            <w:pPr>
              <w:rPr>
                <w:sz w:val="20"/>
              </w:rPr>
            </w:pPr>
          </w:p>
          <w:p w:rsidR="009B0732" w:rsidRPr="00DE6D80" w:rsidRDefault="004C2E8C" w:rsidP="0096124D">
            <w:pPr>
              <w:rPr>
                <w:sz w:val="20"/>
              </w:rPr>
            </w:pPr>
            <w:r w:rsidRPr="00DE6D80">
              <w:rPr>
                <w:sz w:val="20"/>
              </w:rPr>
              <w:t>8,50</w:t>
            </w:r>
          </w:p>
        </w:tc>
        <w:tc>
          <w:tcPr>
            <w:tcW w:w="1134" w:type="dxa"/>
            <w:vMerge/>
            <w:tcBorders>
              <w:top w:val="nil"/>
              <w:left w:val="single" w:sz="4" w:space="0" w:color="auto"/>
              <w:bottom w:val="nil"/>
              <w:right w:val="single" w:sz="4" w:space="0" w:color="auto"/>
            </w:tcBorders>
          </w:tcPr>
          <w:p w:rsidR="009B0732" w:rsidRPr="00DE6D80" w:rsidRDefault="009B0732" w:rsidP="00FC723B">
            <w:pPr>
              <w:rPr>
                <w:sz w:val="20"/>
              </w:rPr>
            </w:pPr>
          </w:p>
        </w:tc>
        <w:tc>
          <w:tcPr>
            <w:tcW w:w="1417" w:type="dxa"/>
            <w:tcBorders>
              <w:top w:val="nil"/>
              <w:left w:val="single" w:sz="4" w:space="0" w:color="auto"/>
              <w:bottom w:val="nil"/>
              <w:right w:val="single" w:sz="4" w:space="0" w:color="auto"/>
            </w:tcBorders>
          </w:tcPr>
          <w:p w:rsidR="009B0732" w:rsidRDefault="009B0732" w:rsidP="00DE6D80">
            <w:pPr>
              <w:rPr>
                <w:sz w:val="20"/>
              </w:rPr>
            </w:pPr>
          </w:p>
          <w:p w:rsidR="003B2E4D" w:rsidRDefault="001826E1" w:rsidP="00DE6D80">
            <w:pPr>
              <w:rPr>
                <w:sz w:val="20"/>
              </w:rPr>
            </w:pPr>
            <w:r>
              <w:rPr>
                <w:sz w:val="20"/>
              </w:rPr>
              <w:t>438.600</w:t>
            </w:r>
          </w:p>
          <w:p w:rsidR="003B2E4D" w:rsidRPr="00DE6D80" w:rsidRDefault="003B2E4D" w:rsidP="00DE6D80">
            <w:pPr>
              <w:rPr>
                <w:sz w:val="20"/>
              </w:rPr>
            </w:pPr>
            <w:bookmarkStart w:id="0" w:name="_GoBack"/>
            <w:bookmarkEnd w:id="0"/>
          </w:p>
        </w:tc>
      </w:tr>
      <w:tr w:rsidR="00FC723B" w:rsidTr="00DE6D80">
        <w:tc>
          <w:tcPr>
            <w:tcW w:w="1814" w:type="dxa"/>
            <w:tcBorders>
              <w:top w:val="nil"/>
              <w:left w:val="single" w:sz="4" w:space="0" w:color="auto"/>
              <w:bottom w:val="single" w:sz="4" w:space="0" w:color="auto"/>
              <w:right w:val="single" w:sz="4" w:space="0" w:color="auto"/>
            </w:tcBorders>
          </w:tcPr>
          <w:p w:rsidR="00FC723B" w:rsidRPr="00DE6D80" w:rsidRDefault="00FC723B" w:rsidP="00FC723B">
            <w:pPr>
              <w:rPr>
                <w:b/>
                <w:sz w:val="20"/>
              </w:rPr>
            </w:pPr>
          </w:p>
        </w:tc>
        <w:tc>
          <w:tcPr>
            <w:tcW w:w="1701" w:type="dxa"/>
            <w:tcBorders>
              <w:top w:val="nil"/>
              <w:left w:val="single" w:sz="4" w:space="0" w:color="auto"/>
              <w:bottom w:val="single" w:sz="4" w:space="0" w:color="auto"/>
              <w:right w:val="single" w:sz="4" w:space="0" w:color="auto"/>
            </w:tcBorders>
          </w:tcPr>
          <w:p w:rsidR="00FC723B" w:rsidRPr="00DE6D80" w:rsidRDefault="00FC723B" w:rsidP="00FC723B">
            <w:pPr>
              <w:rPr>
                <w:b/>
                <w:sz w:val="20"/>
              </w:rPr>
            </w:pPr>
          </w:p>
        </w:tc>
        <w:tc>
          <w:tcPr>
            <w:tcW w:w="794" w:type="dxa"/>
            <w:tcBorders>
              <w:top w:val="nil"/>
              <w:left w:val="single" w:sz="4" w:space="0" w:color="auto"/>
              <w:bottom w:val="single" w:sz="4" w:space="0" w:color="auto"/>
              <w:right w:val="single" w:sz="4" w:space="0" w:color="auto"/>
            </w:tcBorders>
          </w:tcPr>
          <w:p w:rsidR="00FC723B" w:rsidRPr="00DE6D80" w:rsidRDefault="00FC723B" w:rsidP="00FC723B">
            <w:pPr>
              <w:rPr>
                <w:b/>
                <w:sz w:val="20"/>
              </w:rPr>
            </w:pPr>
          </w:p>
        </w:tc>
        <w:tc>
          <w:tcPr>
            <w:tcW w:w="1928" w:type="dxa"/>
            <w:tcBorders>
              <w:top w:val="nil"/>
              <w:left w:val="single" w:sz="4" w:space="0" w:color="auto"/>
              <w:bottom w:val="single" w:sz="4" w:space="0" w:color="auto"/>
              <w:right w:val="single" w:sz="4" w:space="0" w:color="auto"/>
            </w:tcBorders>
            <w:hideMark/>
          </w:tcPr>
          <w:p w:rsidR="00FC723B" w:rsidRPr="00DE6D80" w:rsidRDefault="00FC723B" w:rsidP="00FC723B">
            <w:pPr>
              <w:rPr>
                <w:b/>
                <w:sz w:val="20"/>
              </w:rPr>
            </w:pPr>
            <w:r w:rsidRPr="00DE6D80">
              <w:rPr>
                <w:b/>
                <w:sz w:val="20"/>
              </w:rPr>
              <w:t>Summe</w:t>
            </w:r>
          </w:p>
        </w:tc>
        <w:tc>
          <w:tcPr>
            <w:tcW w:w="737" w:type="dxa"/>
            <w:tcBorders>
              <w:top w:val="nil"/>
              <w:left w:val="single" w:sz="4" w:space="0" w:color="auto"/>
              <w:bottom w:val="single" w:sz="4" w:space="0" w:color="auto"/>
              <w:right w:val="single" w:sz="4" w:space="0" w:color="auto"/>
            </w:tcBorders>
            <w:shd w:val="clear" w:color="auto" w:fill="auto"/>
            <w:hideMark/>
          </w:tcPr>
          <w:p w:rsidR="00FC723B" w:rsidRPr="00DE6D80" w:rsidRDefault="00DE6D80" w:rsidP="00FC723B">
            <w:pPr>
              <w:rPr>
                <w:b/>
                <w:sz w:val="20"/>
              </w:rPr>
            </w:pPr>
            <w:r w:rsidRPr="00DE6D80">
              <w:rPr>
                <w:sz w:val="20"/>
              </w:rPr>
              <w:t>10,94</w:t>
            </w:r>
          </w:p>
        </w:tc>
        <w:tc>
          <w:tcPr>
            <w:tcW w:w="1134" w:type="dxa"/>
            <w:tcBorders>
              <w:top w:val="nil"/>
              <w:left w:val="single" w:sz="4" w:space="0" w:color="auto"/>
              <w:bottom w:val="single" w:sz="4" w:space="0" w:color="auto"/>
              <w:right w:val="single" w:sz="4" w:space="0" w:color="auto"/>
            </w:tcBorders>
          </w:tcPr>
          <w:p w:rsidR="00FC723B" w:rsidRPr="00DE6D80" w:rsidRDefault="00FC723B" w:rsidP="00732F21">
            <w:pPr>
              <w:rPr>
                <w:b/>
                <w:sz w:val="20"/>
              </w:rPr>
            </w:pPr>
          </w:p>
        </w:tc>
        <w:tc>
          <w:tcPr>
            <w:tcW w:w="1417" w:type="dxa"/>
            <w:tcBorders>
              <w:top w:val="nil"/>
              <w:left w:val="single" w:sz="4" w:space="0" w:color="auto"/>
              <w:bottom w:val="single" w:sz="4" w:space="0" w:color="auto"/>
              <w:right w:val="single" w:sz="4" w:space="0" w:color="auto"/>
            </w:tcBorders>
          </w:tcPr>
          <w:p w:rsidR="00FC723B" w:rsidRPr="00DE6D80" w:rsidRDefault="00FC723B" w:rsidP="00DE6D80">
            <w:pPr>
              <w:rPr>
                <w:b/>
                <w:sz w:val="20"/>
              </w:rPr>
            </w:pPr>
          </w:p>
        </w:tc>
      </w:tr>
    </w:tbl>
    <w:p w:rsidR="00683C01" w:rsidRDefault="00683C01" w:rsidP="00683C01">
      <w:pPr>
        <w:pStyle w:val="berschrift1"/>
      </w:pPr>
      <w:r>
        <w:t>1</w:t>
      </w:r>
      <w:r>
        <w:tab/>
        <w:t>Antra</w:t>
      </w:r>
      <w:r>
        <w:rPr>
          <w:u w:val="none"/>
        </w:rPr>
        <w:t>g</w:t>
      </w:r>
      <w:r>
        <w:t>, Stellenausstattun</w:t>
      </w:r>
      <w:r>
        <w:rPr>
          <w:u w:val="none"/>
        </w:rPr>
        <w:t>g</w:t>
      </w:r>
    </w:p>
    <w:p w:rsidR="00683C01" w:rsidRPr="003B2E4D" w:rsidRDefault="00683C01" w:rsidP="00683C01"/>
    <w:p w:rsidR="004C2E8C" w:rsidRPr="003B2E4D" w:rsidRDefault="0080462C" w:rsidP="00683C01">
      <w:pPr>
        <w:rPr>
          <w:noProof/>
          <w:szCs w:val="22"/>
        </w:rPr>
      </w:pPr>
      <w:r w:rsidRPr="003B2E4D">
        <w:rPr>
          <w:noProof/>
          <w:szCs w:val="22"/>
        </w:rPr>
        <w:t>F</w:t>
      </w:r>
      <w:r w:rsidR="00683C01" w:rsidRPr="003B2E4D">
        <w:rPr>
          <w:noProof/>
          <w:szCs w:val="22"/>
        </w:rPr>
        <w:t xml:space="preserve">ür die Umsetzung der Erweitung der </w:t>
      </w:r>
      <w:r w:rsidR="007535A3" w:rsidRPr="003B2E4D">
        <w:rPr>
          <w:noProof/>
          <w:szCs w:val="22"/>
        </w:rPr>
        <w:t>6</w:t>
      </w:r>
      <w:r w:rsidR="00683C01" w:rsidRPr="003B2E4D">
        <w:rPr>
          <w:noProof/>
          <w:szCs w:val="22"/>
        </w:rPr>
        <w:t xml:space="preserve">. Umsetzungsstufe des Parkraummanagements </w:t>
      </w:r>
    </w:p>
    <w:p w:rsidR="00683C01" w:rsidRPr="003B2E4D" w:rsidRDefault="0080462C" w:rsidP="00683C01">
      <w:pPr>
        <w:rPr>
          <w:noProof/>
          <w:szCs w:val="22"/>
        </w:rPr>
      </w:pPr>
      <w:r w:rsidRPr="003B2E4D">
        <w:rPr>
          <w:noProof/>
          <w:szCs w:val="22"/>
        </w:rPr>
        <w:t xml:space="preserve">werden zum Stellenplan 2022 </w:t>
      </w:r>
      <w:r w:rsidR="00732F21" w:rsidRPr="003B2E4D">
        <w:rPr>
          <w:noProof/>
          <w:szCs w:val="22"/>
        </w:rPr>
        <w:t>1</w:t>
      </w:r>
      <w:r w:rsidRPr="003B2E4D">
        <w:rPr>
          <w:noProof/>
          <w:szCs w:val="22"/>
        </w:rPr>
        <w:t>,</w:t>
      </w:r>
      <w:r w:rsidR="00732F21" w:rsidRPr="003B2E4D">
        <w:rPr>
          <w:noProof/>
          <w:szCs w:val="22"/>
        </w:rPr>
        <w:t>63</w:t>
      </w:r>
      <w:r w:rsidRPr="003B2E4D">
        <w:rPr>
          <w:noProof/>
          <w:szCs w:val="22"/>
        </w:rPr>
        <w:t xml:space="preserve"> Stellen in A 8 für die Bußgeldstelle</w:t>
      </w:r>
      <w:r w:rsidR="00732F21" w:rsidRPr="003B2E4D">
        <w:rPr>
          <w:noProof/>
          <w:szCs w:val="22"/>
        </w:rPr>
        <w:t>, 0,81</w:t>
      </w:r>
      <w:r w:rsidR="00276CF7">
        <w:rPr>
          <w:noProof/>
          <w:szCs w:val="22"/>
        </w:rPr>
        <w:t xml:space="preserve"> Stelle</w:t>
      </w:r>
      <w:r w:rsidRPr="003B2E4D">
        <w:rPr>
          <w:noProof/>
          <w:szCs w:val="22"/>
        </w:rPr>
        <w:t xml:space="preserve"> in A</w:t>
      </w:r>
      <w:r w:rsidR="00732F21" w:rsidRPr="003B2E4D">
        <w:rPr>
          <w:noProof/>
          <w:szCs w:val="22"/>
        </w:rPr>
        <w:t> </w:t>
      </w:r>
      <w:r w:rsidRPr="003B2E4D">
        <w:rPr>
          <w:noProof/>
          <w:szCs w:val="22"/>
        </w:rPr>
        <w:t xml:space="preserve">10 für die </w:t>
      </w:r>
      <w:r w:rsidRPr="003B2E4D">
        <w:t>Straßenverkehrsbehörde</w:t>
      </w:r>
      <w:r w:rsidR="00732F21" w:rsidRPr="003B2E4D">
        <w:t xml:space="preserve"> und 8,50</w:t>
      </w:r>
      <w:r w:rsidRPr="003B2E4D">
        <w:rPr>
          <w:noProof/>
          <w:szCs w:val="22"/>
        </w:rPr>
        <w:t xml:space="preserve"> Stellen in EG 6 für </w:t>
      </w:r>
      <w:r w:rsidR="0096124D" w:rsidRPr="003B2E4D">
        <w:t>die Verkehrsüberwachung</w:t>
      </w:r>
      <w:r w:rsidR="00732F21" w:rsidRPr="003B2E4D">
        <w:t xml:space="preserve"> </w:t>
      </w:r>
      <w:r w:rsidRPr="003B2E4D">
        <w:t>geschaffen.</w:t>
      </w:r>
    </w:p>
    <w:p w:rsidR="00683C01" w:rsidRDefault="00683C01" w:rsidP="00683C01">
      <w:pPr>
        <w:pStyle w:val="berschrift1"/>
      </w:pPr>
      <w:r>
        <w:t>2</w:t>
      </w:r>
      <w:r>
        <w:tab/>
        <w:t>Schaffun</w:t>
      </w:r>
      <w:r>
        <w:rPr>
          <w:u w:val="none"/>
        </w:rPr>
        <w:t>g</w:t>
      </w:r>
      <w:r>
        <w:t>skriterien</w:t>
      </w:r>
    </w:p>
    <w:p w:rsidR="00683C01" w:rsidRPr="003B2E4D" w:rsidRDefault="00683C01" w:rsidP="00683C01"/>
    <w:p w:rsidR="00683C01" w:rsidRPr="003B2E4D" w:rsidRDefault="00683C01" w:rsidP="00683C01">
      <w:r w:rsidRPr="003B2E4D">
        <w:t>Das Schaffungskriterium vom Gemeinderat beschlossene neue bzw. erweiterte Aufgaben wird erfüllt</w:t>
      </w:r>
      <w:r w:rsidR="0096124D" w:rsidRPr="003B2E4D">
        <w:t xml:space="preserve"> (GRDrs </w:t>
      </w:r>
      <w:r w:rsidR="004C2E8C" w:rsidRPr="003B2E4D">
        <w:t>753/2021</w:t>
      </w:r>
      <w:r w:rsidR="0096124D" w:rsidRPr="003B2E4D">
        <w:t>)</w:t>
      </w:r>
      <w:r w:rsidRPr="003B2E4D">
        <w:t>.</w:t>
      </w:r>
    </w:p>
    <w:p w:rsidR="00683C01" w:rsidRPr="003B2E4D" w:rsidRDefault="00683C01" w:rsidP="00683C01">
      <w:pPr>
        <w:pStyle w:val="berschrift1"/>
      </w:pPr>
      <w:r w:rsidRPr="003B2E4D">
        <w:t>3</w:t>
      </w:r>
      <w:r w:rsidRPr="003B2E4D">
        <w:tab/>
        <w:t>Bedarf</w:t>
      </w:r>
    </w:p>
    <w:p w:rsidR="00683C01" w:rsidRDefault="00683C01" w:rsidP="009B0732">
      <w:pPr>
        <w:pStyle w:val="berschrift2"/>
      </w:pPr>
      <w:r>
        <w:t>3.1</w:t>
      </w:r>
      <w:r>
        <w:tab/>
        <w:t>Anlass</w:t>
      </w:r>
    </w:p>
    <w:p w:rsidR="00683C01" w:rsidRPr="003B2E4D" w:rsidRDefault="00683C01" w:rsidP="009B0732">
      <w:pPr>
        <w:keepNext/>
      </w:pPr>
    </w:p>
    <w:p w:rsidR="00ED68DC" w:rsidRPr="003B2E4D" w:rsidRDefault="00683C01" w:rsidP="00ED68DC">
      <w:pPr>
        <w:rPr>
          <w:noProof/>
          <w:szCs w:val="22"/>
        </w:rPr>
      </w:pPr>
      <w:r w:rsidRPr="003B2E4D">
        <w:rPr>
          <w:noProof/>
          <w:szCs w:val="22"/>
        </w:rPr>
        <w:t>Mit GRDrs. 317/2013 wurde die Ausweitung des Parkraummanagements in 3 Stufen beschlossen.</w:t>
      </w:r>
      <w:r w:rsidR="00FC723B" w:rsidRPr="003B2E4D">
        <w:rPr>
          <w:noProof/>
          <w:szCs w:val="22"/>
        </w:rPr>
        <w:t xml:space="preserve"> </w:t>
      </w:r>
      <w:r w:rsidR="004C2E8C" w:rsidRPr="003B2E4D">
        <w:rPr>
          <w:noProof/>
          <w:szCs w:val="22"/>
        </w:rPr>
        <w:t>M</w:t>
      </w:r>
      <w:r w:rsidRPr="003B2E4D">
        <w:rPr>
          <w:noProof/>
          <w:szCs w:val="22"/>
        </w:rPr>
        <w:t>it GRDrs.</w:t>
      </w:r>
      <w:r w:rsidR="004C2E8C" w:rsidRPr="003B2E4D">
        <w:t xml:space="preserve"> </w:t>
      </w:r>
      <w:r w:rsidR="004C2E8C" w:rsidRPr="003B2E4D">
        <w:rPr>
          <w:noProof/>
          <w:szCs w:val="22"/>
        </w:rPr>
        <w:t>753/2021 wurde</w:t>
      </w:r>
      <w:r w:rsidR="007535A3" w:rsidRPr="003B2E4D">
        <w:rPr>
          <w:noProof/>
          <w:szCs w:val="22"/>
        </w:rPr>
        <w:t xml:space="preserve"> </w:t>
      </w:r>
      <w:r w:rsidR="004C2E8C" w:rsidRPr="003B2E4D">
        <w:rPr>
          <w:noProof/>
          <w:szCs w:val="22"/>
        </w:rPr>
        <w:t>eine weitere</w:t>
      </w:r>
      <w:r w:rsidRPr="003B2E4D">
        <w:rPr>
          <w:noProof/>
          <w:szCs w:val="22"/>
        </w:rPr>
        <w:t xml:space="preserve"> Ausweitung durch eine </w:t>
      </w:r>
      <w:r w:rsidR="007535A3" w:rsidRPr="003B2E4D">
        <w:rPr>
          <w:noProof/>
          <w:szCs w:val="22"/>
        </w:rPr>
        <w:t>6</w:t>
      </w:r>
      <w:r w:rsidRPr="003B2E4D">
        <w:rPr>
          <w:noProof/>
          <w:szCs w:val="22"/>
        </w:rPr>
        <w:t xml:space="preserve">. </w:t>
      </w:r>
      <w:r w:rsidR="00ED68DC" w:rsidRPr="003B2E4D">
        <w:rPr>
          <w:noProof/>
          <w:szCs w:val="22"/>
        </w:rPr>
        <w:t xml:space="preserve">Stufe mit einer weiteren möglichen Erweiterung um mehrere Optionsgebiete beschlossen, auf </w:t>
      </w:r>
      <w:r w:rsidR="00ED68DC" w:rsidRPr="003B2E4D">
        <w:rPr>
          <w:noProof/>
          <w:szCs w:val="22"/>
        </w:rPr>
        <w:lastRenderedPageBreak/>
        <w:t>welche das Parkraummanagement augeweitet wird, sofern die tatsächlichen und rechtlichen Voraussetzungen vorliegen.</w:t>
      </w:r>
      <w:r w:rsidR="00ED68DC" w:rsidRPr="003B2E4D">
        <w:rPr>
          <w:rFonts w:cs="Arial"/>
        </w:rPr>
        <w:t xml:space="preserve"> </w:t>
      </w:r>
    </w:p>
    <w:p w:rsidR="004C2E8C" w:rsidRPr="003B2E4D" w:rsidRDefault="004C2E8C" w:rsidP="00683C01">
      <w:pPr>
        <w:rPr>
          <w:noProof/>
          <w:szCs w:val="22"/>
        </w:rPr>
      </w:pPr>
    </w:p>
    <w:p w:rsidR="00683C01" w:rsidRDefault="008B22B9" w:rsidP="00683C01">
      <w:pPr>
        <w:rPr>
          <w:rFonts w:cs="Arial"/>
        </w:rPr>
      </w:pPr>
      <w:r w:rsidRPr="003B2E4D">
        <w:rPr>
          <w:rFonts w:cs="Arial"/>
        </w:rPr>
        <w:t>Dafür werden im Amt für öffentliche Ordnung die vorgenannten zusätzlichen Stellen benötigt.</w:t>
      </w:r>
    </w:p>
    <w:p w:rsidR="00276CF7" w:rsidRPr="003B2E4D" w:rsidRDefault="00276CF7" w:rsidP="00683C01">
      <w:pPr>
        <w:rPr>
          <w:noProof/>
          <w:szCs w:val="22"/>
        </w:rPr>
      </w:pPr>
    </w:p>
    <w:p w:rsidR="00683C01" w:rsidRPr="003B2E4D" w:rsidRDefault="00683C01" w:rsidP="00683C01">
      <w:pPr>
        <w:pStyle w:val="berschrift2"/>
      </w:pPr>
      <w:r w:rsidRPr="003B2E4D">
        <w:t>3.2</w:t>
      </w:r>
      <w:r w:rsidRPr="003B2E4D">
        <w:tab/>
        <w:t>Bisherige Aufgabenwahrnehmung</w:t>
      </w:r>
    </w:p>
    <w:p w:rsidR="00683C01" w:rsidRPr="003B2E4D" w:rsidRDefault="00683C01" w:rsidP="00683C01"/>
    <w:p w:rsidR="00683C01" w:rsidRDefault="00683C01" w:rsidP="00683C01">
      <w:r w:rsidRPr="003B2E4D">
        <w:t>Keine</w:t>
      </w:r>
    </w:p>
    <w:p w:rsidR="00276CF7" w:rsidRPr="003B2E4D" w:rsidRDefault="00276CF7" w:rsidP="00683C01"/>
    <w:p w:rsidR="00683C01" w:rsidRPr="003B2E4D" w:rsidRDefault="00683C01" w:rsidP="00683C01">
      <w:pPr>
        <w:pStyle w:val="berschrift2"/>
      </w:pPr>
      <w:r w:rsidRPr="003B2E4D">
        <w:t>3.3</w:t>
      </w:r>
      <w:r w:rsidRPr="003B2E4D">
        <w:tab/>
        <w:t>Auswirkungen bei Ablehnung der Stellenschaffungen</w:t>
      </w:r>
    </w:p>
    <w:p w:rsidR="00683C01" w:rsidRPr="003B2E4D" w:rsidRDefault="00683C01" w:rsidP="00683C01"/>
    <w:p w:rsidR="00683C01" w:rsidRPr="003B2E4D" w:rsidRDefault="00683C01" w:rsidP="00683C01">
      <w:pPr>
        <w:rPr>
          <w:noProof/>
          <w:szCs w:val="22"/>
        </w:rPr>
      </w:pPr>
      <w:r w:rsidRPr="003B2E4D">
        <w:rPr>
          <w:noProof/>
          <w:szCs w:val="22"/>
        </w:rPr>
        <w:t>Bei Ablehnung der Stellenschaffung</w:t>
      </w:r>
      <w:r w:rsidR="008B22B9" w:rsidRPr="003B2E4D">
        <w:rPr>
          <w:noProof/>
          <w:szCs w:val="22"/>
        </w:rPr>
        <w:t>en</w:t>
      </w:r>
      <w:r w:rsidRPr="003B2E4D">
        <w:rPr>
          <w:noProof/>
          <w:szCs w:val="22"/>
        </w:rPr>
        <w:t xml:space="preserve"> kann die Erweiterung des Parkraummangements nicht umgesetzt werden. Die Funktionalität des Parkraummanagements kann nur durch eine regelmäßige und konsequente Überwachung gewährleistet werden. Dies wird durch die Erfahrungen in den bisher eingeführten Parkraumbewirtschaftungsgebieten bestätigt. </w:t>
      </w:r>
    </w:p>
    <w:p w:rsidR="00683C01" w:rsidRPr="003B2E4D" w:rsidRDefault="00683C01" w:rsidP="00683C01">
      <w:pPr>
        <w:pStyle w:val="berschrift1"/>
      </w:pPr>
      <w:r w:rsidRPr="003B2E4D">
        <w:t>4</w:t>
      </w:r>
      <w:r w:rsidRPr="003B2E4D">
        <w:tab/>
        <w:t>Stellenvermerke</w:t>
      </w:r>
    </w:p>
    <w:p w:rsidR="00683C01" w:rsidRPr="003B2E4D" w:rsidRDefault="00683C01" w:rsidP="00683C01"/>
    <w:p w:rsidR="00683C01" w:rsidRPr="003B2E4D" w:rsidRDefault="004C2E8C" w:rsidP="00683C01">
      <w:r w:rsidRPr="003B2E4D">
        <w:t xml:space="preserve">An den für die Optionsgebiete geschaffenen </w:t>
      </w:r>
      <w:r w:rsidR="00732F21" w:rsidRPr="003B2E4D">
        <w:t>Stellen (</w:t>
      </w:r>
      <w:r w:rsidR="00732F21" w:rsidRPr="003B2E4D">
        <w:rPr>
          <w:noProof/>
          <w:szCs w:val="22"/>
        </w:rPr>
        <w:t xml:space="preserve">0,72 Stellen in A 8 für die Bußgeldstelle, 0,36 Stellen in A 10 für die </w:t>
      </w:r>
      <w:r w:rsidR="00732F21" w:rsidRPr="003B2E4D">
        <w:t>Straßenverkehrsbehörde und 4,50</w:t>
      </w:r>
      <w:r w:rsidR="00732F21" w:rsidRPr="003B2E4D">
        <w:rPr>
          <w:noProof/>
          <w:szCs w:val="22"/>
        </w:rPr>
        <w:t xml:space="preserve"> Stellen in EG 6 für </w:t>
      </w:r>
      <w:r w:rsidR="00732F21" w:rsidRPr="003B2E4D">
        <w:t>die Verkehrsüberwachung)</w:t>
      </w:r>
      <w:r w:rsidRPr="003B2E4D">
        <w:t xml:space="preserve"> </w:t>
      </w:r>
      <w:r w:rsidR="00683C01" w:rsidRPr="003B2E4D">
        <w:t>wird folgender Besetzungsvorbehalt angebracht:</w:t>
      </w:r>
    </w:p>
    <w:p w:rsidR="00683C01" w:rsidRPr="003B2E4D" w:rsidRDefault="00683C01" w:rsidP="00683C01"/>
    <w:p w:rsidR="00683C01" w:rsidRPr="003B2E4D" w:rsidRDefault="00683C01" w:rsidP="00884D6C">
      <w:r w:rsidRPr="003B2E4D">
        <w:t>„Die Besetzung der Stellen erfolgt nur, wenn das Parkraummanagement auf das Optionsgebiet O</w:t>
      </w:r>
      <w:r w:rsidR="007535A3" w:rsidRPr="003B2E4D">
        <w:t>6</w:t>
      </w:r>
      <w:r w:rsidRPr="003B2E4D">
        <w:t xml:space="preserve"> erweitert wird. Die Einstellung des Personals kann frühestens 6 Monate vor der Umsetzung des Erweiterungsgebiets erfolgen, um eine Einarbeitung der neuen Mitarbeiter/-innen zu gewährleisten.“</w:t>
      </w:r>
    </w:p>
    <w:sectPr w:rsidR="00683C01" w:rsidRPr="003B2E4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314" w:rsidRDefault="00846314">
      <w:r>
        <w:separator/>
      </w:r>
    </w:p>
  </w:endnote>
  <w:endnote w:type="continuationSeparator" w:id="0">
    <w:p w:rsidR="00846314" w:rsidRDefault="0084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314" w:rsidRDefault="00846314">
      <w:r>
        <w:separator/>
      </w:r>
    </w:p>
  </w:footnote>
  <w:footnote w:type="continuationSeparator" w:id="0">
    <w:p w:rsidR="00846314" w:rsidRDefault="00846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1826E1">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14"/>
    <w:rsid w:val="00051A76"/>
    <w:rsid w:val="00055758"/>
    <w:rsid w:val="000A1146"/>
    <w:rsid w:val="001034AF"/>
    <w:rsid w:val="0011112B"/>
    <w:rsid w:val="0014415D"/>
    <w:rsid w:val="00151488"/>
    <w:rsid w:val="00163034"/>
    <w:rsid w:val="00164678"/>
    <w:rsid w:val="00165C0D"/>
    <w:rsid w:val="00181857"/>
    <w:rsid w:val="001826E1"/>
    <w:rsid w:val="00184EDC"/>
    <w:rsid w:val="00194770"/>
    <w:rsid w:val="001A5F9B"/>
    <w:rsid w:val="001C6E2C"/>
    <w:rsid w:val="001F7237"/>
    <w:rsid w:val="00270629"/>
    <w:rsid w:val="00276CF7"/>
    <w:rsid w:val="002924CB"/>
    <w:rsid w:val="00297336"/>
    <w:rsid w:val="002A20D1"/>
    <w:rsid w:val="002A4DE3"/>
    <w:rsid w:val="002B5955"/>
    <w:rsid w:val="0030686C"/>
    <w:rsid w:val="00380937"/>
    <w:rsid w:val="00397717"/>
    <w:rsid w:val="003B2E4D"/>
    <w:rsid w:val="003D7B0B"/>
    <w:rsid w:val="003F0FAA"/>
    <w:rsid w:val="00470135"/>
    <w:rsid w:val="0047606A"/>
    <w:rsid w:val="004908B5"/>
    <w:rsid w:val="0049121B"/>
    <w:rsid w:val="004A1688"/>
    <w:rsid w:val="004B6796"/>
    <w:rsid w:val="004C2E8C"/>
    <w:rsid w:val="005A0A9D"/>
    <w:rsid w:val="005A56AA"/>
    <w:rsid w:val="005E19C6"/>
    <w:rsid w:val="005F5B3D"/>
    <w:rsid w:val="00606F80"/>
    <w:rsid w:val="00622CC7"/>
    <w:rsid w:val="00683C01"/>
    <w:rsid w:val="006A406B"/>
    <w:rsid w:val="006B6D50"/>
    <w:rsid w:val="006E0575"/>
    <w:rsid w:val="0072799A"/>
    <w:rsid w:val="00732F21"/>
    <w:rsid w:val="007535A3"/>
    <w:rsid w:val="00754659"/>
    <w:rsid w:val="0078279E"/>
    <w:rsid w:val="007D2415"/>
    <w:rsid w:val="007E3B79"/>
    <w:rsid w:val="0080462C"/>
    <w:rsid w:val="008066EE"/>
    <w:rsid w:val="00817BB6"/>
    <w:rsid w:val="00846314"/>
    <w:rsid w:val="00884D6C"/>
    <w:rsid w:val="008B22B9"/>
    <w:rsid w:val="00920F00"/>
    <w:rsid w:val="009373F6"/>
    <w:rsid w:val="0096124D"/>
    <w:rsid w:val="00976588"/>
    <w:rsid w:val="009B0732"/>
    <w:rsid w:val="00A27CA7"/>
    <w:rsid w:val="00A45B30"/>
    <w:rsid w:val="00A71D0A"/>
    <w:rsid w:val="00A7440F"/>
    <w:rsid w:val="00A77F1E"/>
    <w:rsid w:val="00A847C4"/>
    <w:rsid w:val="00AB389D"/>
    <w:rsid w:val="00AE7B02"/>
    <w:rsid w:val="00AF0DEA"/>
    <w:rsid w:val="00AF25E0"/>
    <w:rsid w:val="00B04290"/>
    <w:rsid w:val="00B80DEF"/>
    <w:rsid w:val="00B86BB5"/>
    <w:rsid w:val="00B91903"/>
    <w:rsid w:val="00BC4669"/>
    <w:rsid w:val="00C16EF1"/>
    <w:rsid w:val="00C448D3"/>
    <w:rsid w:val="00CF62E5"/>
    <w:rsid w:val="00D66D3A"/>
    <w:rsid w:val="00D743D4"/>
    <w:rsid w:val="00DB3D6C"/>
    <w:rsid w:val="00DE362D"/>
    <w:rsid w:val="00DE6D80"/>
    <w:rsid w:val="00E014B6"/>
    <w:rsid w:val="00E1162F"/>
    <w:rsid w:val="00E11D5F"/>
    <w:rsid w:val="00E20E1F"/>
    <w:rsid w:val="00E42F96"/>
    <w:rsid w:val="00E7118F"/>
    <w:rsid w:val="00ED68DC"/>
    <w:rsid w:val="00F27657"/>
    <w:rsid w:val="00F342DC"/>
    <w:rsid w:val="00F56F93"/>
    <w:rsid w:val="00F63041"/>
    <w:rsid w:val="00F76452"/>
    <w:rsid w:val="00FC723B"/>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725EB"/>
  <w15:docId w15:val="{92F889A6-DCD4-4CB9-8DB0-F090EC35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9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2183</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Geiger, Raimund</dc:creator>
  <cp:lastModifiedBy>Baumann, Gerhard</cp:lastModifiedBy>
  <cp:revision>18</cp:revision>
  <cp:lastPrinted>2021-11-29T10:57:00Z</cp:lastPrinted>
  <dcterms:created xsi:type="dcterms:W3CDTF">2021-01-26T15:04:00Z</dcterms:created>
  <dcterms:modified xsi:type="dcterms:W3CDTF">2021-11-29T10:57:00Z</dcterms:modified>
</cp:coreProperties>
</file>