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3C32FC">
        <w:t>40</w:t>
      </w:r>
      <w:r w:rsidR="00E25A09" w:rsidRPr="006E0575">
        <w:t xml:space="preserve"> </w:t>
      </w:r>
      <w:r w:rsidRPr="006E0575">
        <w:t>zur GRDrs</w:t>
      </w:r>
      <w:r w:rsidR="000B46E9">
        <w:t>.</w:t>
      </w:r>
      <w:r w:rsidRPr="006E0575">
        <w:t xml:space="preserve"> </w:t>
      </w:r>
      <w:r w:rsidR="000B46E9">
        <w:t>824</w:t>
      </w:r>
      <w:r w:rsidRPr="006E0575">
        <w:t>/20</w:t>
      </w:r>
      <w:r w:rsidR="00BF209E">
        <w:t>2</w:t>
      </w:r>
      <w:r w:rsidR="00667CBD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A73216">
        <w:t>4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2E442C" w:rsidRPr="006E0575" w:rsidTr="002C36F1">
        <w:trPr>
          <w:tblHeader/>
        </w:trPr>
        <w:tc>
          <w:tcPr>
            <w:tcW w:w="1701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588" w:type="dxa"/>
            <w:shd w:val="pct12" w:color="auto" w:fill="FFFFFF"/>
          </w:tcPr>
          <w:p w:rsidR="002E442C" w:rsidRPr="006E0575" w:rsidRDefault="002E442C" w:rsidP="002C36F1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FE4641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FE4641">
              <w:rPr>
                <w:sz w:val="16"/>
                <w:szCs w:val="16"/>
              </w:rPr>
              <w:t>icher</w:t>
            </w:r>
            <w:r w:rsidR="002C36F1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2C36F1"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A73216" w:rsidP="00C33C9C">
            <w:pPr>
              <w:rPr>
                <w:sz w:val="20"/>
              </w:rPr>
            </w:pPr>
            <w:r>
              <w:rPr>
                <w:sz w:val="20"/>
              </w:rPr>
              <w:t>630.0103.</w:t>
            </w:r>
            <w:r w:rsidR="00B872EA">
              <w:rPr>
                <w:sz w:val="20"/>
              </w:rPr>
              <w:t>320</w:t>
            </w:r>
          </w:p>
          <w:p w:rsidR="00E25A09" w:rsidRDefault="00E25A09" w:rsidP="00C33C9C">
            <w:pPr>
              <w:rPr>
                <w:sz w:val="20"/>
              </w:rPr>
            </w:pPr>
          </w:p>
          <w:p w:rsidR="000B46E9" w:rsidRDefault="000B46E9" w:rsidP="00C33C9C">
            <w:pPr>
              <w:rPr>
                <w:sz w:val="20"/>
              </w:rPr>
            </w:pPr>
          </w:p>
          <w:p w:rsidR="000B46E9" w:rsidRDefault="000B46E9" w:rsidP="00C33C9C">
            <w:pPr>
              <w:rPr>
                <w:sz w:val="20"/>
              </w:rPr>
            </w:pPr>
          </w:p>
          <w:p w:rsidR="000B46E9" w:rsidRDefault="000B46E9" w:rsidP="00C33C9C">
            <w:pPr>
              <w:rPr>
                <w:sz w:val="20"/>
              </w:rPr>
            </w:pPr>
          </w:p>
          <w:p w:rsidR="00A73216" w:rsidRDefault="00B872EA" w:rsidP="00C33C9C">
            <w:pPr>
              <w:rPr>
                <w:sz w:val="20"/>
              </w:rPr>
            </w:pPr>
            <w:r>
              <w:rPr>
                <w:sz w:val="20"/>
              </w:rPr>
              <w:t>630.0103.330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FF5E94" w:rsidRDefault="00A73216" w:rsidP="00C33C9C">
            <w:pPr>
              <w:rPr>
                <w:sz w:val="20"/>
              </w:rPr>
            </w:pPr>
            <w:r>
              <w:rPr>
                <w:sz w:val="20"/>
              </w:rPr>
              <w:t>6310</w:t>
            </w:r>
            <w:r w:rsidR="003C32FC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5030</w:t>
            </w: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E25A09" w:rsidRPr="006E0575" w:rsidRDefault="00E25A09" w:rsidP="00C33C9C">
            <w:pPr>
              <w:rPr>
                <w:sz w:val="20"/>
              </w:rPr>
            </w:pPr>
            <w:r>
              <w:rPr>
                <w:sz w:val="20"/>
              </w:rPr>
              <w:t>Baurechtsamt</w:t>
            </w:r>
          </w:p>
        </w:tc>
        <w:tc>
          <w:tcPr>
            <w:tcW w:w="85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A73216" w:rsidRDefault="00A73216" w:rsidP="00E25A09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E25A09">
              <w:rPr>
                <w:sz w:val="20"/>
              </w:rPr>
              <w:t xml:space="preserve"> 5</w:t>
            </w:r>
          </w:p>
          <w:p w:rsidR="000B46E9" w:rsidRDefault="000B46E9" w:rsidP="00E25A09">
            <w:pPr>
              <w:rPr>
                <w:sz w:val="20"/>
              </w:rPr>
            </w:pPr>
          </w:p>
          <w:p w:rsidR="000B46E9" w:rsidRDefault="000B46E9" w:rsidP="00E25A09">
            <w:pPr>
              <w:rPr>
                <w:sz w:val="20"/>
              </w:rPr>
            </w:pPr>
          </w:p>
          <w:p w:rsidR="000B46E9" w:rsidRDefault="000B46E9" w:rsidP="00E25A09">
            <w:pPr>
              <w:rPr>
                <w:sz w:val="20"/>
              </w:rPr>
            </w:pPr>
          </w:p>
          <w:p w:rsidR="000B46E9" w:rsidRDefault="000B46E9" w:rsidP="00E25A09">
            <w:pPr>
              <w:rPr>
                <w:sz w:val="20"/>
              </w:rPr>
            </w:pPr>
          </w:p>
          <w:p w:rsidR="000B46E9" w:rsidRPr="006E0575" w:rsidRDefault="000B46E9" w:rsidP="00E25A09">
            <w:pPr>
              <w:rPr>
                <w:sz w:val="20"/>
              </w:rPr>
            </w:pPr>
            <w:r>
              <w:rPr>
                <w:sz w:val="20"/>
              </w:rPr>
              <w:t>EG 5</w:t>
            </w: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A73216" w:rsidP="00B872EA">
            <w:pPr>
              <w:rPr>
                <w:sz w:val="20"/>
              </w:rPr>
            </w:pPr>
            <w:r>
              <w:rPr>
                <w:sz w:val="20"/>
              </w:rPr>
              <w:t xml:space="preserve">Sachbearbeitung </w:t>
            </w:r>
            <w:r w:rsidR="00B872EA">
              <w:rPr>
                <w:sz w:val="20"/>
              </w:rPr>
              <w:t>zentraler Posteingang</w:t>
            </w:r>
          </w:p>
          <w:p w:rsidR="000B46E9" w:rsidRDefault="000B46E9" w:rsidP="00B872EA">
            <w:pPr>
              <w:rPr>
                <w:sz w:val="20"/>
              </w:rPr>
            </w:pPr>
          </w:p>
          <w:p w:rsidR="000B46E9" w:rsidRDefault="000B46E9" w:rsidP="00B872EA">
            <w:pPr>
              <w:rPr>
                <w:sz w:val="20"/>
              </w:rPr>
            </w:pPr>
          </w:p>
          <w:p w:rsidR="000B46E9" w:rsidRPr="006E0575" w:rsidRDefault="000B46E9" w:rsidP="00B872EA">
            <w:pPr>
              <w:rPr>
                <w:sz w:val="20"/>
              </w:rPr>
            </w:pPr>
            <w:r>
              <w:rPr>
                <w:sz w:val="20"/>
              </w:rPr>
              <w:t>Sachbearbeitung zentraler Posteingang</w:t>
            </w:r>
          </w:p>
        </w:tc>
        <w:tc>
          <w:tcPr>
            <w:tcW w:w="851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A73216" w:rsidRDefault="00E25A09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E25A09" w:rsidRDefault="00E25A09" w:rsidP="00C33C9C">
            <w:pPr>
              <w:rPr>
                <w:sz w:val="20"/>
              </w:rPr>
            </w:pPr>
          </w:p>
          <w:p w:rsidR="000B46E9" w:rsidRDefault="000B46E9" w:rsidP="00C33C9C">
            <w:pPr>
              <w:rPr>
                <w:sz w:val="20"/>
              </w:rPr>
            </w:pPr>
          </w:p>
          <w:p w:rsidR="000B46E9" w:rsidRDefault="000B46E9" w:rsidP="00C33C9C">
            <w:pPr>
              <w:rPr>
                <w:sz w:val="20"/>
              </w:rPr>
            </w:pPr>
          </w:p>
          <w:p w:rsidR="000B46E9" w:rsidRDefault="000B46E9" w:rsidP="00C33C9C">
            <w:pPr>
              <w:rPr>
                <w:sz w:val="20"/>
              </w:rPr>
            </w:pPr>
          </w:p>
          <w:p w:rsidR="00E25A09" w:rsidRPr="006E0575" w:rsidRDefault="00E25A09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E25A09" w:rsidP="00C33C9C">
            <w:pPr>
              <w:rPr>
                <w:sz w:val="20"/>
              </w:rPr>
            </w:pPr>
            <w:r>
              <w:rPr>
                <w:sz w:val="20"/>
              </w:rPr>
              <w:t>KW 0</w:t>
            </w:r>
            <w:r w:rsidR="00A73216">
              <w:rPr>
                <w:sz w:val="20"/>
              </w:rPr>
              <w:t>1/</w:t>
            </w:r>
            <w:r>
              <w:rPr>
                <w:sz w:val="20"/>
              </w:rPr>
              <w:t>20</w:t>
            </w:r>
            <w:r w:rsidR="00A73216">
              <w:rPr>
                <w:sz w:val="20"/>
              </w:rPr>
              <w:t>24</w:t>
            </w:r>
          </w:p>
          <w:p w:rsidR="001D2FD2" w:rsidRDefault="00E25A09" w:rsidP="00E25A09">
            <w:pPr>
              <w:rPr>
                <w:b/>
                <w:sz w:val="20"/>
              </w:rPr>
            </w:pPr>
            <w:r w:rsidRPr="00E25A09">
              <w:rPr>
                <w:b/>
                <w:sz w:val="20"/>
              </w:rPr>
              <w:t>KW 01/20</w:t>
            </w:r>
            <w:r w:rsidR="00A73216" w:rsidRPr="00E25A09">
              <w:rPr>
                <w:b/>
                <w:sz w:val="20"/>
              </w:rPr>
              <w:t>2</w:t>
            </w:r>
            <w:r w:rsidR="00A235DB" w:rsidRPr="00E25A09">
              <w:rPr>
                <w:b/>
                <w:sz w:val="20"/>
              </w:rPr>
              <w:t>6</w:t>
            </w:r>
          </w:p>
          <w:p w:rsidR="000B46E9" w:rsidRDefault="000B46E9" w:rsidP="00E25A09">
            <w:pPr>
              <w:rPr>
                <w:b/>
                <w:sz w:val="20"/>
              </w:rPr>
            </w:pPr>
          </w:p>
          <w:p w:rsidR="000B46E9" w:rsidRDefault="000B46E9" w:rsidP="000B46E9">
            <w:pPr>
              <w:rPr>
                <w:sz w:val="20"/>
              </w:rPr>
            </w:pPr>
            <w:r>
              <w:rPr>
                <w:sz w:val="20"/>
              </w:rPr>
              <w:t>KW 01/2024</w:t>
            </w:r>
          </w:p>
          <w:p w:rsidR="000B46E9" w:rsidRPr="00E25A09" w:rsidRDefault="000B46E9" w:rsidP="000B46E9">
            <w:pPr>
              <w:rPr>
                <w:b/>
                <w:sz w:val="20"/>
              </w:rPr>
            </w:pPr>
            <w:r w:rsidRPr="00E25A09">
              <w:rPr>
                <w:b/>
                <w:sz w:val="20"/>
              </w:rPr>
              <w:t>KW 01/2026</w:t>
            </w:r>
          </w:p>
        </w:tc>
        <w:tc>
          <w:tcPr>
            <w:tcW w:w="158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D17117" w:rsidRDefault="00A73216" w:rsidP="00A73216">
      <w:r>
        <w:t>Zum Stellenplan 20</w:t>
      </w:r>
      <w:r w:rsidR="00B872EA">
        <w:t>22</w:t>
      </w:r>
      <w:r>
        <w:t xml:space="preserve"> </w:t>
      </w:r>
      <w:r w:rsidR="00D17117">
        <w:t>wurden 2</w:t>
      </w:r>
      <w:r w:rsidR="00E25A09">
        <w:t>,0 befristete</w:t>
      </w:r>
      <w:r w:rsidR="00D17117">
        <w:t xml:space="preserve"> Stellen</w:t>
      </w:r>
      <w:r w:rsidR="00E25A09">
        <w:t xml:space="preserve"> in EG 5 TVöD (übertarifliche Eingruppierung in EG 7)</w:t>
      </w:r>
      <w:r w:rsidR="00D17117">
        <w:t xml:space="preserve"> für den zentralen Posteingang beim </w:t>
      </w:r>
      <w:r w:rsidR="00E25A09">
        <w:t>Baurechtsamt</w:t>
      </w:r>
      <w:r w:rsidR="00D17117">
        <w:t xml:space="preserve"> </w:t>
      </w:r>
      <w:r>
        <w:t>geschaffen</w:t>
      </w:r>
      <w:r w:rsidR="00E25A09">
        <w:t>.</w:t>
      </w:r>
      <w:r>
        <w:t xml:space="preserve"> Die Absicht war, </w:t>
      </w:r>
      <w:r w:rsidR="00D17117">
        <w:t>die analog eingehenden Schriftstücke an zentraler Stell</w:t>
      </w:r>
      <w:r w:rsidR="0015500C">
        <w:t>e</w:t>
      </w:r>
      <w:r w:rsidR="00D17117">
        <w:t xml:space="preserve"> zu </w:t>
      </w:r>
      <w:r w:rsidR="00A235DB">
        <w:t>digitalisieren</w:t>
      </w:r>
      <w:r w:rsidR="00E25A09">
        <w:t xml:space="preserve"> und amtsintern </w:t>
      </w:r>
      <w:r w:rsidR="00D17117">
        <w:t>zu verteilen</w:t>
      </w:r>
      <w:r>
        <w:t xml:space="preserve">. </w:t>
      </w:r>
      <w:r w:rsidR="00E25A09">
        <w:t>T</w:t>
      </w:r>
      <w:r w:rsidR="00D17117">
        <w:t xml:space="preserve">atsächlich konnte 2022 </w:t>
      </w:r>
      <w:r w:rsidR="000B1EC2">
        <w:t xml:space="preserve">trotz mehrfacher Ausschreibung </w:t>
      </w:r>
      <w:r w:rsidR="00D17117">
        <w:t>keine der</w:t>
      </w:r>
      <w:r w:rsidR="00A235DB">
        <w:t xml:space="preserve"> beiden</w:t>
      </w:r>
      <w:r w:rsidR="00D17117">
        <w:t xml:space="preserve"> Stellen besetzt werden. Wegen Umbaumaßnahmen im Gebäude des Baurechtsamts war es zudem nicht möglich, die beschaffte Hardware (insb. Scanner</w:t>
      </w:r>
      <w:r w:rsidR="003400D7">
        <w:t xml:space="preserve"> für große Planf</w:t>
      </w:r>
      <w:r w:rsidR="00D17117">
        <w:t>ormate) aufzustellen und die internen Abläufe entsprechend umzustellen</w:t>
      </w:r>
      <w:r w:rsidR="00E25A09">
        <w:t xml:space="preserve">. </w:t>
      </w:r>
      <w:r w:rsidR="00792796">
        <w:t>Die Umsetzung der Digitalisierung des Posteingangs hat sich darum u</w:t>
      </w:r>
      <w:r w:rsidR="000B1EC2">
        <w:t xml:space="preserve">m mindestens ein Jahr verzögert, </w:t>
      </w:r>
      <w:r w:rsidR="00792796">
        <w:t xml:space="preserve">sodass alleine aus diesem Grund eine Verlängerung des </w:t>
      </w:r>
      <w:r w:rsidR="00E25A09">
        <w:t>KW</w:t>
      </w:r>
      <w:r w:rsidR="00792796">
        <w:t>-Vermerks erforderlich ist. Zudem ergibt sich durch die Umstellung auf digitale baurechtliche Verfahren ein deutlich erhöhter Aufwand, zumindest in der “Ramp-up Phase“ der Umstellung, die sich mindestens bis Ende 2025 auswirken wird.</w:t>
      </w:r>
      <w:r w:rsidR="00D04580">
        <w:t xml:space="preserve"> Über die Notwendigkeit einer we</w:t>
      </w:r>
      <w:r w:rsidR="00F5387B">
        <w:t>iteren Verlängerung kann dann</w:t>
      </w:r>
      <w:r w:rsidR="00D04580">
        <w:t xml:space="preserve"> 2024 entschieden werden, wenn die Stellenplananträge zum HH 2026/27 gefertigt werden müssen. Erst dann ist eine belastbare Aussage dazu möglich, wenn bis dahin die beiden Stellen besetzt werden konnten und d</w:t>
      </w:r>
      <w:r w:rsidR="00BF3F51">
        <w:t>er</w:t>
      </w:r>
      <w:r w:rsidR="00D04580">
        <w:t xml:space="preserve"> zentrale Posteingang eingerichtet werden konnte.</w:t>
      </w:r>
      <w:r w:rsidR="00E25A09">
        <w:t xml:space="preserve"> </w:t>
      </w:r>
      <w:r w:rsidR="003E0CA5">
        <w:t xml:space="preserve">Die Entwicklung weg vom </w:t>
      </w:r>
      <w:r w:rsidR="00D17117">
        <w:t xml:space="preserve">Papier hin zum digitalen Dokument konnte </w:t>
      </w:r>
      <w:r w:rsidR="00792796">
        <w:t xml:space="preserve">bei 63 </w:t>
      </w:r>
      <w:r w:rsidR="00D17117">
        <w:t xml:space="preserve">daher </w:t>
      </w:r>
      <w:r w:rsidR="00792796">
        <w:t xml:space="preserve">bisher </w:t>
      </w:r>
      <w:r w:rsidR="0015500C">
        <w:t xml:space="preserve">in Bezug auf den Posteingang </w:t>
      </w:r>
      <w:r w:rsidR="00D17117">
        <w:t xml:space="preserve">nicht </w:t>
      </w:r>
      <w:r w:rsidR="00792796">
        <w:t xml:space="preserve">effizient </w:t>
      </w:r>
      <w:r w:rsidR="00D17117">
        <w:t>umgesetzt werden</w:t>
      </w:r>
      <w:r w:rsidR="003E0CA5">
        <w:t>.</w:t>
      </w:r>
      <w:r w:rsidR="00D17117">
        <w:t xml:space="preserve"> </w:t>
      </w:r>
      <w:r w:rsidR="003E0CA5">
        <w:t xml:space="preserve">Aufgrund der vom Gesetzgeber verbindlich gemachten Vorgaben für digitale baurechtliche Verfahren </w:t>
      </w:r>
      <w:r w:rsidR="00D17117">
        <w:t>ist dies</w:t>
      </w:r>
      <w:r w:rsidR="003E0CA5">
        <w:t xml:space="preserve"> aber unumgänglich</w:t>
      </w:r>
      <w:r w:rsidR="00F5387B">
        <w:t>,</w:t>
      </w:r>
      <w:r w:rsidR="003E0CA5">
        <w:t xml:space="preserve"> </w:t>
      </w:r>
      <w:r w:rsidR="009163C0">
        <w:t xml:space="preserve">und </w:t>
      </w:r>
      <w:r w:rsidR="00D17117">
        <w:t xml:space="preserve">das Führen einer parallelen Papierakte neben der digitalen Vorgangsakte ist ohne großen </w:t>
      </w:r>
      <w:r w:rsidR="00A235DB">
        <w:t>Aufwand und große</w:t>
      </w:r>
      <w:r w:rsidR="0015500C">
        <w:t>r</w:t>
      </w:r>
      <w:r w:rsidR="00A235DB">
        <w:t xml:space="preserve"> Fehlergefahr (Dokumente fehlen oder werden evtl. nicht berücksichtigt) </w:t>
      </w:r>
      <w:r w:rsidR="00D17117">
        <w:t>nicht möglich.</w:t>
      </w:r>
      <w:r w:rsidR="003400D7">
        <w:t xml:space="preserve"> Auf die zentrale Posteingangsstelle bei 63 kann daher auf absehbare Zeit nicht verzichtet werden.</w:t>
      </w:r>
    </w:p>
    <w:p w:rsidR="00A235DB" w:rsidRDefault="00A235DB" w:rsidP="00A73216"/>
    <w:p w:rsidR="003400D7" w:rsidRDefault="009163C0" w:rsidP="00A73216">
      <w:r>
        <w:t xml:space="preserve">Die Verlängerung </w:t>
      </w:r>
      <w:r w:rsidR="00E25A09">
        <w:t>des</w:t>
      </w:r>
      <w:r>
        <w:t xml:space="preserve"> </w:t>
      </w:r>
      <w:r w:rsidR="00E25A09">
        <w:t>KW-Vermerks an beiden Stellen</w:t>
      </w:r>
      <w:r>
        <w:t xml:space="preserve"> wird daher bis Ende 202</w:t>
      </w:r>
      <w:r w:rsidR="00A235DB">
        <w:t>5</w:t>
      </w:r>
      <w:r>
        <w:t xml:space="preserve"> beantragt</w:t>
      </w:r>
      <w:r w:rsidR="00E25A09">
        <w:t>.</w:t>
      </w:r>
      <w:r w:rsidR="000B1EC2">
        <w:t xml:space="preserve"> </w:t>
      </w:r>
    </w:p>
    <w:sectPr w:rsidR="003400D7" w:rsidSect="000B46E9">
      <w:headerReference w:type="default" r:id="rId8"/>
      <w:pgSz w:w="11907" w:h="16840" w:code="9"/>
      <w:pgMar w:top="1418" w:right="1134" w:bottom="993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25" w:rsidRDefault="00594E25">
      <w:r>
        <w:separator/>
      </w:r>
    </w:p>
  </w:endnote>
  <w:endnote w:type="continuationSeparator" w:id="0">
    <w:p w:rsidR="00594E25" w:rsidRDefault="0059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25" w:rsidRDefault="00594E25">
      <w:r>
        <w:separator/>
      </w:r>
    </w:p>
  </w:footnote>
  <w:footnote w:type="continuationSeparator" w:id="0">
    <w:p w:rsidR="00594E25" w:rsidRDefault="0059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3C32FC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25"/>
    <w:rsid w:val="0007798B"/>
    <w:rsid w:val="000A1146"/>
    <w:rsid w:val="000B1EC2"/>
    <w:rsid w:val="000B46E9"/>
    <w:rsid w:val="000D6946"/>
    <w:rsid w:val="000E4C4B"/>
    <w:rsid w:val="00100866"/>
    <w:rsid w:val="00127258"/>
    <w:rsid w:val="00153F44"/>
    <w:rsid w:val="0015500C"/>
    <w:rsid w:val="00165C0D"/>
    <w:rsid w:val="00181578"/>
    <w:rsid w:val="00181857"/>
    <w:rsid w:val="00193A16"/>
    <w:rsid w:val="001D2FD2"/>
    <w:rsid w:val="00213C7A"/>
    <w:rsid w:val="00215971"/>
    <w:rsid w:val="00224A04"/>
    <w:rsid w:val="0023350C"/>
    <w:rsid w:val="002402DD"/>
    <w:rsid w:val="002812E4"/>
    <w:rsid w:val="002924CB"/>
    <w:rsid w:val="002C03BA"/>
    <w:rsid w:val="002C2ECA"/>
    <w:rsid w:val="002C36F1"/>
    <w:rsid w:val="002E14E4"/>
    <w:rsid w:val="002E442C"/>
    <w:rsid w:val="00303DAD"/>
    <w:rsid w:val="00321D15"/>
    <w:rsid w:val="003400D7"/>
    <w:rsid w:val="00394BB8"/>
    <w:rsid w:val="003B4312"/>
    <w:rsid w:val="003C05EE"/>
    <w:rsid w:val="003C32FC"/>
    <w:rsid w:val="003D7B0B"/>
    <w:rsid w:val="003E0CA5"/>
    <w:rsid w:val="004054DF"/>
    <w:rsid w:val="00430818"/>
    <w:rsid w:val="00436B6D"/>
    <w:rsid w:val="00465C46"/>
    <w:rsid w:val="004A6E7A"/>
    <w:rsid w:val="004B6796"/>
    <w:rsid w:val="005856C2"/>
    <w:rsid w:val="00594E25"/>
    <w:rsid w:val="006134E1"/>
    <w:rsid w:val="00666CE4"/>
    <w:rsid w:val="00667CBD"/>
    <w:rsid w:val="00694161"/>
    <w:rsid w:val="006A55CB"/>
    <w:rsid w:val="006E0575"/>
    <w:rsid w:val="0071202B"/>
    <w:rsid w:val="00723653"/>
    <w:rsid w:val="00781F32"/>
    <w:rsid w:val="007879B1"/>
    <w:rsid w:val="00792796"/>
    <w:rsid w:val="007B200C"/>
    <w:rsid w:val="007B57B1"/>
    <w:rsid w:val="00856812"/>
    <w:rsid w:val="0087386C"/>
    <w:rsid w:val="00884D6C"/>
    <w:rsid w:val="008E1C7F"/>
    <w:rsid w:val="008F409A"/>
    <w:rsid w:val="009163C0"/>
    <w:rsid w:val="00916C44"/>
    <w:rsid w:val="00A1159D"/>
    <w:rsid w:val="00A235DB"/>
    <w:rsid w:val="00A34898"/>
    <w:rsid w:val="00A4179B"/>
    <w:rsid w:val="00A509C5"/>
    <w:rsid w:val="00A73216"/>
    <w:rsid w:val="00A77F1E"/>
    <w:rsid w:val="00A833A7"/>
    <w:rsid w:val="00AD784D"/>
    <w:rsid w:val="00AE10D7"/>
    <w:rsid w:val="00B04290"/>
    <w:rsid w:val="00B45BDD"/>
    <w:rsid w:val="00B66C18"/>
    <w:rsid w:val="00B72D18"/>
    <w:rsid w:val="00B80DEF"/>
    <w:rsid w:val="00B872EA"/>
    <w:rsid w:val="00BF209E"/>
    <w:rsid w:val="00BF3F51"/>
    <w:rsid w:val="00C074C7"/>
    <w:rsid w:val="00C33C9C"/>
    <w:rsid w:val="00C448D3"/>
    <w:rsid w:val="00C6569F"/>
    <w:rsid w:val="00C777D6"/>
    <w:rsid w:val="00C91E57"/>
    <w:rsid w:val="00D04580"/>
    <w:rsid w:val="00D17117"/>
    <w:rsid w:val="00D24277"/>
    <w:rsid w:val="00D43767"/>
    <w:rsid w:val="00D46290"/>
    <w:rsid w:val="00D85EA0"/>
    <w:rsid w:val="00DC56F5"/>
    <w:rsid w:val="00DE1BA7"/>
    <w:rsid w:val="00E1162F"/>
    <w:rsid w:val="00E11D5F"/>
    <w:rsid w:val="00E25A09"/>
    <w:rsid w:val="00E60CED"/>
    <w:rsid w:val="00E86112"/>
    <w:rsid w:val="00E97935"/>
    <w:rsid w:val="00EC58C5"/>
    <w:rsid w:val="00EC78CB"/>
    <w:rsid w:val="00ED4ABD"/>
    <w:rsid w:val="00EF4BCB"/>
    <w:rsid w:val="00F05F23"/>
    <w:rsid w:val="00F27657"/>
    <w:rsid w:val="00F32ACD"/>
    <w:rsid w:val="00F3775A"/>
    <w:rsid w:val="00F5387B"/>
    <w:rsid w:val="00FC24F0"/>
    <w:rsid w:val="00FE4615"/>
    <w:rsid w:val="00FE4641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36C1C"/>
  <w15:docId w15:val="{F3C93E1A-03E0-4C98-99D3-5442A3C2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6F1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unhideWhenUsed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unhideWhenUsed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unhideWhenUsed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3C32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C3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30103\Downloads\l112_muster-verlaengerung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A5C56D5-DCA1-4A10-8227-E21A5FAC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l112_muster-verlaengerung-stellenvermerk.dotx</Template>
  <TotalTime>0</TotalTime>
  <Pages>1</Pages>
  <Words>324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/>
  <dc:creator>Grund, Rainer</dc:creator>
  <dc:description/>
  <cp:lastModifiedBy>Baumann, Gerhard</cp:lastModifiedBy>
  <cp:revision>8</cp:revision>
  <cp:lastPrinted>2023-11-09T07:22:00Z</cp:lastPrinted>
  <dcterms:created xsi:type="dcterms:W3CDTF">2023-01-03T06:44:00Z</dcterms:created>
  <dcterms:modified xsi:type="dcterms:W3CDTF">2023-11-09T07:22:00Z</dcterms:modified>
</cp:coreProperties>
</file>