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5F1029">
      <w:pPr>
        <w:jc w:val="right"/>
      </w:pPr>
      <w:r w:rsidRPr="006E0575">
        <w:t xml:space="preserve">Anlage </w:t>
      </w:r>
      <w:r w:rsidR="005F1029">
        <w:t>22</w:t>
      </w:r>
      <w:r w:rsidRPr="006E0575">
        <w:t xml:space="preserve"> zur GRDrs </w:t>
      </w:r>
      <w:r w:rsidR="005F1029">
        <w:t>706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F16AE3">
        <w:t>3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5E3FBD" w:rsidTr="00781F32">
        <w:tc>
          <w:tcPr>
            <w:tcW w:w="1814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2E442C" w:rsidRPr="005E3FBD" w:rsidRDefault="00F16AE3" w:rsidP="00C33C9C">
            <w:pPr>
              <w:rPr>
                <w:sz w:val="20"/>
                <w:szCs w:val="20"/>
              </w:rPr>
            </w:pPr>
            <w:r w:rsidRPr="005E3FBD">
              <w:rPr>
                <w:noProof/>
                <w:sz w:val="20"/>
                <w:szCs w:val="20"/>
              </w:rPr>
              <w:t xml:space="preserve">610.0802.200 </w:t>
            </w:r>
            <w:r w:rsidR="006065BA" w:rsidRPr="005E3FBD">
              <w:rPr>
                <w:noProof/>
                <w:sz w:val="20"/>
                <w:szCs w:val="20"/>
              </w:rPr>
              <w:t>610.0802.201</w:t>
            </w:r>
          </w:p>
          <w:p w:rsidR="00FF5E94" w:rsidRPr="005E3FBD" w:rsidRDefault="00FF5E94" w:rsidP="00C33C9C">
            <w:pPr>
              <w:rPr>
                <w:sz w:val="20"/>
                <w:szCs w:val="20"/>
              </w:rPr>
            </w:pPr>
          </w:p>
          <w:p w:rsidR="00FF5E94" w:rsidRPr="005E3FBD" w:rsidRDefault="00F16AE3" w:rsidP="00C33C9C">
            <w:pPr>
              <w:rPr>
                <w:sz w:val="20"/>
                <w:szCs w:val="20"/>
              </w:rPr>
            </w:pPr>
            <w:r w:rsidRPr="005E3FBD">
              <w:rPr>
                <w:noProof/>
                <w:sz w:val="20"/>
                <w:szCs w:val="20"/>
              </w:rPr>
              <w:t>6182</w:t>
            </w:r>
            <w:r w:rsidR="00A9185B">
              <w:rPr>
                <w:noProof/>
                <w:sz w:val="20"/>
                <w:szCs w:val="20"/>
              </w:rPr>
              <w:t xml:space="preserve"> </w:t>
            </w:r>
            <w:r w:rsidRPr="005E3FBD">
              <w:rPr>
                <w:noProof/>
                <w:sz w:val="20"/>
                <w:szCs w:val="20"/>
              </w:rPr>
              <w:t>6000</w:t>
            </w:r>
          </w:p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2E442C" w:rsidRPr="005E3FBD" w:rsidRDefault="005E3FBD" w:rsidP="00F16AE3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5E3FBD" w:rsidRDefault="00F16AE3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>EG 12</w:t>
            </w:r>
          </w:p>
          <w:p w:rsidR="00A9185B" w:rsidRPr="005E3FBD" w:rsidRDefault="00A9185B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12</w:t>
            </w:r>
          </w:p>
        </w:tc>
        <w:tc>
          <w:tcPr>
            <w:tcW w:w="1928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5E3FBD" w:rsidRDefault="005E3FBD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>Projektleiter/-</w:t>
            </w:r>
            <w:r w:rsidR="00F16AE3" w:rsidRPr="005E3FBD">
              <w:rPr>
                <w:sz w:val="20"/>
                <w:szCs w:val="20"/>
              </w:rPr>
              <w:t>in</w:t>
            </w:r>
          </w:p>
          <w:p w:rsidR="00A9185B" w:rsidRPr="005E3FBD" w:rsidRDefault="00A9185B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>Projektleiter/-in</w:t>
            </w:r>
          </w:p>
        </w:tc>
        <w:tc>
          <w:tcPr>
            <w:tcW w:w="737" w:type="dxa"/>
            <w:shd w:val="pct12" w:color="auto" w:fill="FFFFFF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2E442C" w:rsidRPr="005E3FBD" w:rsidRDefault="006065BA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>0,5</w:t>
            </w:r>
          </w:p>
          <w:p w:rsidR="006065BA" w:rsidRPr="005E3FBD" w:rsidRDefault="006065BA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2E442C" w:rsidRPr="005E3FBD" w:rsidRDefault="00F16AE3" w:rsidP="00C33C9C">
            <w:pPr>
              <w:rPr>
                <w:sz w:val="20"/>
                <w:szCs w:val="20"/>
              </w:rPr>
            </w:pPr>
            <w:r w:rsidRPr="005E3FBD">
              <w:rPr>
                <w:sz w:val="20"/>
                <w:szCs w:val="20"/>
              </w:rPr>
              <w:t xml:space="preserve">KW </w:t>
            </w:r>
            <w:r w:rsidR="00307F72" w:rsidRPr="005E3FBD">
              <w:rPr>
                <w:sz w:val="20"/>
                <w:szCs w:val="20"/>
              </w:rPr>
              <w:t>0</w:t>
            </w:r>
            <w:r w:rsidRPr="005E3FBD">
              <w:rPr>
                <w:sz w:val="20"/>
                <w:szCs w:val="20"/>
              </w:rPr>
              <w:t>1/</w:t>
            </w:r>
            <w:r w:rsidR="005E3FBD" w:rsidRPr="005E3FBD">
              <w:rPr>
                <w:sz w:val="20"/>
                <w:szCs w:val="20"/>
              </w:rPr>
              <w:t>20</w:t>
            </w:r>
            <w:r w:rsidRPr="005E3FBD">
              <w:rPr>
                <w:sz w:val="20"/>
                <w:szCs w:val="20"/>
              </w:rPr>
              <w:t>23</w:t>
            </w:r>
          </w:p>
          <w:p w:rsidR="001D2FD2" w:rsidRPr="005E3FBD" w:rsidRDefault="001D2FD2" w:rsidP="00C33C9C">
            <w:pPr>
              <w:rPr>
                <w:sz w:val="20"/>
                <w:szCs w:val="20"/>
              </w:rPr>
            </w:pPr>
          </w:p>
          <w:p w:rsidR="001D2FD2" w:rsidRPr="005E3FBD" w:rsidRDefault="00F16AE3" w:rsidP="00C33C9C">
            <w:pPr>
              <w:rPr>
                <w:b/>
                <w:sz w:val="20"/>
                <w:szCs w:val="20"/>
              </w:rPr>
            </w:pPr>
            <w:r w:rsidRPr="005E3FBD">
              <w:rPr>
                <w:b/>
                <w:sz w:val="20"/>
                <w:szCs w:val="20"/>
              </w:rPr>
              <w:t xml:space="preserve">KW </w:t>
            </w:r>
            <w:r w:rsidR="00307F72" w:rsidRPr="005E3FBD">
              <w:rPr>
                <w:b/>
                <w:sz w:val="20"/>
                <w:szCs w:val="20"/>
              </w:rPr>
              <w:t>0</w:t>
            </w:r>
            <w:r w:rsidR="00665650" w:rsidRPr="005E3FBD">
              <w:rPr>
                <w:b/>
                <w:sz w:val="20"/>
                <w:szCs w:val="20"/>
              </w:rPr>
              <w:t>1/</w:t>
            </w:r>
            <w:r w:rsidR="005E3FBD" w:rsidRPr="005E3FBD">
              <w:rPr>
                <w:b/>
                <w:sz w:val="20"/>
                <w:szCs w:val="20"/>
              </w:rPr>
              <w:t>20</w:t>
            </w:r>
            <w:r w:rsidR="00665650" w:rsidRPr="005E3FB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  <w:p w:rsidR="002E442C" w:rsidRPr="005E3FBD" w:rsidRDefault="002E442C" w:rsidP="00C33C9C">
            <w:pPr>
              <w:rPr>
                <w:sz w:val="20"/>
                <w:szCs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F16AE3" w:rsidRDefault="0026725D" w:rsidP="00694161">
      <w:r>
        <w:rPr>
          <w:rFonts w:eastAsiaTheme="minorHAnsi" w:cstheme="minorBidi"/>
          <w:lang w:eastAsia="en-US"/>
        </w:rPr>
        <w:t xml:space="preserve">Der Stellenvermerk </w:t>
      </w:r>
      <w:r w:rsidR="004416C5">
        <w:rPr>
          <w:rFonts w:eastAsiaTheme="minorHAnsi" w:cstheme="minorBidi"/>
          <w:lang w:eastAsia="en-US"/>
        </w:rPr>
        <w:t>an o.</w:t>
      </w:r>
      <w:r>
        <w:rPr>
          <w:rFonts w:eastAsiaTheme="minorHAnsi" w:cstheme="minorBidi"/>
          <w:lang w:eastAsia="en-US"/>
        </w:rPr>
        <w:t xml:space="preserve"> </w:t>
      </w:r>
      <w:r w:rsidR="004416C5">
        <w:rPr>
          <w:rFonts w:eastAsiaTheme="minorHAnsi" w:cstheme="minorBidi"/>
          <w:lang w:eastAsia="en-US"/>
        </w:rPr>
        <w:t>g. Stellen</w:t>
      </w:r>
      <w:r>
        <w:rPr>
          <w:rFonts w:eastAsiaTheme="minorHAnsi" w:cstheme="minorBidi"/>
          <w:lang w:eastAsia="en-US"/>
        </w:rPr>
        <w:t xml:space="preserve"> wird auf 01/2028 verlängert</w:t>
      </w:r>
      <w:r w:rsidR="004416C5">
        <w:rPr>
          <w:rFonts w:eastAsiaTheme="minorHAnsi" w:cstheme="minorBidi"/>
          <w:lang w:eastAsia="en-US"/>
        </w:rPr>
        <w:t xml:space="preserve">. </w:t>
      </w:r>
      <w:r w:rsidR="00F16AE3">
        <w:t>Im Mai 2019 wurde mit GRDrs</w:t>
      </w:r>
      <w:r w:rsidR="00A9185B">
        <w:t>.</w:t>
      </w:r>
      <w:r w:rsidR="00F16AE3">
        <w:t xml:space="preserve"> 3/2018 der Grundsatzbeschluss zur Umnutzung und Modernisierung der Villa Berg zu einem offenen Haus für Musik und Mehr beschlossen. </w:t>
      </w:r>
    </w:p>
    <w:p w:rsidR="00FC0A37" w:rsidRDefault="00FC0A37" w:rsidP="00694161"/>
    <w:p w:rsidR="00F16AE3" w:rsidRPr="00F16AE3" w:rsidRDefault="004416C5" w:rsidP="00F16AE3">
      <w:r>
        <w:t xml:space="preserve">Es zeigt </w:t>
      </w:r>
      <w:r w:rsidR="00F16AE3" w:rsidRPr="00F16AE3">
        <w:t>sich, dass die städtische Gesamtkoordination für das Kulturprojekt (insbesondere zwischen den Ämtern 61, 41, 66 und 67), auch im Kontext mit der Bürgerbeteiligung, einen hoh</w:t>
      </w:r>
      <w:r w:rsidR="00F16AE3">
        <w:t xml:space="preserve">en Ressourceneinsatz </w:t>
      </w:r>
      <w:r w:rsidR="00F16AE3" w:rsidRPr="00F16AE3">
        <w:t>bis Baufertigstellung</w:t>
      </w:r>
      <w:r w:rsidR="00F16AE3">
        <w:t xml:space="preserve"> erfordert</w:t>
      </w:r>
      <w:r w:rsidR="00F16AE3" w:rsidRPr="00F16AE3">
        <w:t xml:space="preserve">. Ressourcen binden </w:t>
      </w:r>
      <w:r w:rsidR="00F16AE3">
        <w:t xml:space="preserve">neben der eigentlichen Baudurchführung </w:t>
      </w:r>
      <w:r w:rsidR="00F16AE3" w:rsidRPr="00F16AE3">
        <w:t>auch Sonderaspekte des Projekts, wie z.</w:t>
      </w:r>
      <w:r w:rsidR="00A9185B">
        <w:t> </w:t>
      </w:r>
      <w:r w:rsidR="00F16AE3" w:rsidRPr="00F16AE3">
        <w:t xml:space="preserve">B. der Erwerb der Pozzi-Skulptur </w:t>
      </w:r>
      <w:r w:rsidR="00EB7BD6">
        <w:t>(GRDrs</w:t>
      </w:r>
      <w:r w:rsidR="00A9185B">
        <w:t>.</w:t>
      </w:r>
      <w:r w:rsidR="00EB7BD6">
        <w:t xml:space="preserve"> 602/2020) </w:t>
      </w:r>
      <w:r w:rsidR="00F16AE3" w:rsidRPr="00F16AE3">
        <w:t xml:space="preserve">oder die Sanierung der Orgel, für die keine eindeutigen Zuständigkeiten in anderen Ämtern vorliegen, die aber </w:t>
      </w:r>
      <w:r w:rsidR="00665650">
        <w:t xml:space="preserve">in </w:t>
      </w:r>
      <w:r w:rsidR="00F16AE3" w:rsidRPr="00F16AE3">
        <w:t>einem engen Zusammenhang mit dem Planungsprozess stehen und deshalb durch Amt 61 durchgeführt werden.</w:t>
      </w:r>
    </w:p>
    <w:p w:rsidR="00F16AE3" w:rsidRPr="00F16AE3" w:rsidRDefault="00F16AE3" w:rsidP="00F16AE3"/>
    <w:p w:rsidR="00F16AE3" w:rsidRPr="00F16AE3" w:rsidRDefault="00F16AE3" w:rsidP="00F16AE3">
      <w:r w:rsidRPr="00F16AE3">
        <w:t>Wesentliche Meilensteine</w:t>
      </w:r>
      <w:r w:rsidR="00665650">
        <w:t>:</w:t>
      </w:r>
    </w:p>
    <w:p w:rsidR="00F16AE3" w:rsidRPr="00F16AE3" w:rsidRDefault="00665650" w:rsidP="00F16AE3">
      <w:r>
        <w:t>2021</w:t>
      </w:r>
      <w:r w:rsidR="00F16AE3" w:rsidRPr="00F16AE3">
        <w:t xml:space="preserve"> Mitte April</w:t>
      </w:r>
      <w:r w:rsidR="00F16AE3" w:rsidRPr="00F16AE3">
        <w:tab/>
      </w:r>
      <w:r w:rsidR="00F16AE3" w:rsidRPr="00F16AE3">
        <w:tab/>
        <w:t>Planungsaufnahme der Architekten</w:t>
      </w:r>
    </w:p>
    <w:p w:rsidR="00F16AE3" w:rsidRPr="00F16AE3" w:rsidRDefault="00665650" w:rsidP="00F16AE3">
      <w:r>
        <w:t xml:space="preserve">2021 </w:t>
      </w:r>
      <w:r w:rsidR="00F16AE3" w:rsidRPr="00F16AE3">
        <w:t>Anfang September</w:t>
      </w:r>
      <w:r w:rsidR="00F16AE3" w:rsidRPr="00F16AE3">
        <w:tab/>
        <w:t>Planungsaufnahme gesamtes Planungsteam</w:t>
      </w:r>
    </w:p>
    <w:p w:rsidR="00F16AE3" w:rsidRPr="00F16AE3" w:rsidRDefault="00665650" w:rsidP="00F16AE3">
      <w:r>
        <w:t xml:space="preserve">2023 </w:t>
      </w:r>
      <w:r w:rsidR="00F16AE3" w:rsidRPr="00F16AE3">
        <w:t>Q1</w:t>
      </w:r>
      <w:r w:rsidR="00F16AE3" w:rsidRPr="00F16AE3">
        <w:tab/>
      </w:r>
      <w:r w:rsidR="00F16AE3" w:rsidRPr="00F16AE3">
        <w:tab/>
      </w:r>
      <w:r w:rsidR="00F16AE3" w:rsidRPr="00F16AE3">
        <w:tab/>
        <w:t>Eingabe Baugesuch</w:t>
      </w:r>
    </w:p>
    <w:p w:rsidR="00F16AE3" w:rsidRPr="00F16AE3" w:rsidRDefault="00665650" w:rsidP="00F16AE3">
      <w:r>
        <w:t xml:space="preserve">2024 </w:t>
      </w:r>
      <w:r w:rsidR="00F16AE3" w:rsidRPr="00F16AE3">
        <w:t>Q3</w:t>
      </w:r>
      <w:r w:rsidR="00F16AE3" w:rsidRPr="00F16AE3">
        <w:tab/>
      </w:r>
      <w:r w:rsidR="00F16AE3" w:rsidRPr="00F16AE3">
        <w:tab/>
      </w:r>
      <w:r w:rsidR="00F16AE3" w:rsidRPr="00F16AE3">
        <w:tab/>
        <w:t>Baubeginn</w:t>
      </w:r>
    </w:p>
    <w:p w:rsidR="003D7B0B" w:rsidRDefault="00665650" w:rsidP="00F16AE3">
      <w:r>
        <w:t>Ende 2026/Anfang 2027</w:t>
      </w:r>
      <w:r w:rsidR="00F16AE3" w:rsidRPr="00F16AE3">
        <w:tab/>
        <w:t>Eröffnung</w:t>
      </w:r>
    </w:p>
    <w:p w:rsidR="00665650" w:rsidRDefault="00665650" w:rsidP="00F16AE3"/>
    <w:p w:rsidR="00665650" w:rsidRDefault="00665650" w:rsidP="00F16AE3">
      <w:r>
        <w:t xml:space="preserve">Die Verlängerung der </w:t>
      </w:r>
      <w:r w:rsidR="0026725D">
        <w:t xml:space="preserve">Vermerke </w:t>
      </w:r>
      <w:r>
        <w:t>ist daher dringend notwendig</w:t>
      </w:r>
      <w:r w:rsidR="0026725D">
        <w:t>. Das Projekt</w:t>
      </w:r>
      <w:r>
        <w:t xml:space="preserve"> kann aufgrund der Komplexität </w:t>
      </w:r>
      <w:r w:rsidR="00072C60">
        <w:t xml:space="preserve">mit Gesamtkosten von über 60 Mio. € </w:t>
      </w:r>
      <w:r>
        <w:t>auc</w:t>
      </w:r>
      <w:r w:rsidR="0026725D">
        <w:t>h nicht von anderen Mitarbeiter/-</w:t>
      </w:r>
      <w:r>
        <w:t>innen übernommen werden.</w:t>
      </w:r>
    </w:p>
    <w:sectPr w:rsidR="0066565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6F" w:rsidRDefault="000A006F">
      <w:r>
        <w:separator/>
      </w:r>
    </w:p>
  </w:endnote>
  <w:endnote w:type="continuationSeparator" w:id="0">
    <w:p w:rsidR="000A006F" w:rsidRDefault="000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6F" w:rsidRDefault="000A006F">
      <w:r>
        <w:separator/>
      </w:r>
    </w:p>
  </w:footnote>
  <w:footnote w:type="continuationSeparator" w:id="0">
    <w:p w:rsidR="000A006F" w:rsidRDefault="000A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5F1029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3"/>
    <w:rsid w:val="00072C60"/>
    <w:rsid w:val="0007798B"/>
    <w:rsid w:val="000A006F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6725D"/>
    <w:rsid w:val="002812E4"/>
    <w:rsid w:val="002924CB"/>
    <w:rsid w:val="002C03BA"/>
    <w:rsid w:val="002C2ECA"/>
    <w:rsid w:val="002E14E4"/>
    <w:rsid w:val="002E442C"/>
    <w:rsid w:val="00303DAD"/>
    <w:rsid w:val="00307F72"/>
    <w:rsid w:val="00321D15"/>
    <w:rsid w:val="00394BB8"/>
    <w:rsid w:val="003B4312"/>
    <w:rsid w:val="003C05EE"/>
    <w:rsid w:val="003D7B0B"/>
    <w:rsid w:val="004054DF"/>
    <w:rsid w:val="00430818"/>
    <w:rsid w:val="00436B6D"/>
    <w:rsid w:val="004416C5"/>
    <w:rsid w:val="00465C46"/>
    <w:rsid w:val="004A6E7A"/>
    <w:rsid w:val="004B6796"/>
    <w:rsid w:val="004C6895"/>
    <w:rsid w:val="00570303"/>
    <w:rsid w:val="005856C2"/>
    <w:rsid w:val="005E3FBD"/>
    <w:rsid w:val="005F1029"/>
    <w:rsid w:val="006065BA"/>
    <w:rsid w:val="006134E1"/>
    <w:rsid w:val="00665650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A1159D"/>
    <w:rsid w:val="00A34898"/>
    <w:rsid w:val="00A4179B"/>
    <w:rsid w:val="00A509C5"/>
    <w:rsid w:val="00A77F1E"/>
    <w:rsid w:val="00A833A7"/>
    <w:rsid w:val="00A9185B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CE2ADA"/>
    <w:rsid w:val="00D24277"/>
    <w:rsid w:val="00D46290"/>
    <w:rsid w:val="00D85EA0"/>
    <w:rsid w:val="00DC56F5"/>
    <w:rsid w:val="00E1162F"/>
    <w:rsid w:val="00E11D5F"/>
    <w:rsid w:val="00E60CED"/>
    <w:rsid w:val="00E97935"/>
    <w:rsid w:val="00EB7BD6"/>
    <w:rsid w:val="00EC58C5"/>
    <w:rsid w:val="00EC78CB"/>
    <w:rsid w:val="00ED4ABD"/>
    <w:rsid w:val="00EF4BCB"/>
    <w:rsid w:val="00F05F23"/>
    <w:rsid w:val="00F16AE3"/>
    <w:rsid w:val="00F27657"/>
    <w:rsid w:val="00F3775A"/>
    <w:rsid w:val="00FC0A37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13E43"/>
  <w15:docId w15:val="{623CDBC4-5BB3-4B18-AB51-8B95ED96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Böhm, Susanne</dc:creator>
  <dc:description/>
  <cp:lastModifiedBy>Baumann, Gerhard</cp:lastModifiedBy>
  <cp:revision>8</cp:revision>
  <cp:lastPrinted>2021-09-30T08:53:00Z</cp:lastPrinted>
  <dcterms:created xsi:type="dcterms:W3CDTF">2021-08-06T11:22:00Z</dcterms:created>
  <dcterms:modified xsi:type="dcterms:W3CDTF">2021-09-30T08:53:00Z</dcterms:modified>
</cp:coreProperties>
</file>