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9E7559">
        <w:t>14</w:t>
      </w:r>
      <w:r w:rsidRPr="006E0575">
        <w:t xml:space="preserve"> zur GRDrs </w:t>
      </w:r>
      <w:r w:rsidR="009E7559">
        <w:t>706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510086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BA6D08" w:rsidP="0030686C">
            <w:pPr>
              <w:rPr>
                <w:sz w:val="20"/>
              </w:rPr>
            </w:pPr>
            <w:r>
              <w:rPr>
                <w:sz w:val="20"/>
              </w:rPr>
              <w:t>61-8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510086" w:rsidP="0030686C">
            <w:pPr>
              <w:rPr>
                <w:sz w:val="20"/>
              </w:rPr>
            </w:pPr>
            <w:r>
              <w:rPr>
                <w:sz w:val="20"/>
              </w:rPr>
              <w:t>6182</w:t>
            </w:r>
            <w:r w:rsidR="00695CB7">
              <w:rPr>
                <w:sz w:val="20"/>
              </w:rPr>
              <w:t xml:space="preserve"> </w:t>
            </w:r>
            <w:r>
              <w:rPr>
                <w:sz w:val="20"/>
              </w:rPr>
              <w:t>6000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77520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Amt für Stadtplanung und Wohnen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10086" w:rsidP="008F1EB1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BA6D08"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z w:val="20"/>
              </w:rPr>
              <w:br/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10086" w:rsidP="00BA6D08">
            <w:pPr>
              <w:rPr>
                <w:sz w:val="20"/>
              </w:rPr>
            </w:pPr>
            <w:r>
              <w:rPr>
                <w:sz w:val="20"/>
              </w:rPr>
              <w:t>Projektleiter</w:t>
            </w:r>
            <w:r w:rsidR="00BA6D08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F1EB1" w:rsidP="003068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21714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E7559">
              <w:rPr>
                <w:noProof/>
                <w:sz w:val="20"/>
              </w:rPr>
              <w:t> </w:t>
            </w:r>
            <w:r w:rsidR="009E7559">
              <w:rPr>
                <w:noProof/>
                <w:sz w:val="20"/>
              </w:rPr>
              <w:t> </w:t>
            </w:r>
            <w:r w:rsidR="009E7559">
              <w:rPr>
                <w:noProof/>
                <w:sz w:val="20"/>
              </w:rPr>
              <w:t> </w:t>
            </w:r>
            <w:r w:rsidR="009E7559">
              <w:rPr>
                <w:noProof/>
                <w:sz w:val="20"/>
              </w:rPr>
              <w:t> </w:t>
            </w:r>
            <w:r w:rsidR="009E755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E7559" w:rsidP="0030686C">
            <w:pPr>
              <w:rPr>
                <w:sz w:val="20"/>
              </w:rPr>
            </w:pPr>
            <w:r>
              <w:rPr>
                <w:sz w:val="20"/>
              </w:rPr>
              <w:t>111.200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0E434E" w:rsidRPr="000E434E" w:rsidRDefault="00BA6D08" w:rsidP="000E434E">
      <w:pPr>
        <w:rPr>
          <w:color w:val="000000" w:themeColor="text1"/>
        </w:rPr>
      </w:pPr>
      <w:r>
        <w:rPr>
          <w:color w:val="000000" w:themeColor="text1"/>
        </w:rPr>
        <w:t>Geschaffen</w:t>
      </w:r>
      <w:r w:rsidR="00254CED">
        <w:rPr>
          <w:color w:val="000000" w:themeColor="text1"/>
        </w:rPr>
        <w:t xml:space="preserve"> wird 1,0 Stelle Projektleitung</w:t>
      </w:r>
      <w:r w:rsidR="000E434E" w:rsidRPr="000E434E">
        <w:rPr>
          <w:color w:val="000000" w:themeColor="text1"/>
        </w:rPr>
        <w:t xml:space="preserve"> für </w:t>
      </w:r>
      <w:r>
        <w:rPr>
          <w:color w:val="000000" w:themeColor="text1"/>
        </w:rPr>
        <w:t xml:space="preserve">eine/-n </w:t>
      </w:r>
      <w:r w:rsidR="000E434E" w:rsidRPr="000E434E">
        <w:rPr>
          <w:color w:val="000000" w:themeColor="text1"/>
        </w:rPr>
        <w:t>Diplom-Ingenieur</w:t>
      </w:r>
      <w:r>
        <w:rPr>
          <w:color w:val="000000" w:themeColor="text1"/>
        </w:rPr>
        <w:t>/-</w:t>
      </w:r>
      <w:r w:rsidR="000E434E" w:rsidRPr="000E434E">
        <w:rPr>
          <w:color w:val="000000" w:themeColor="text1"/>
        </w:rPr>
        <w:t xml:space="preserve">in oder Master der Fachrichtung Raumplanung, Stadtplanung oder Hochbau bei der Abteilung Stadterneuerung und Wohnbauentwicklung des Amts für Stadtplanung und </w:t>
      </w:r>
      <w:r w:rsidR="000E434E">
        <w:rPr>
          <w:color w:val="000000" w:themeColor="text1"/>
        </w:rPr>
        <w:t>Wohnen</w:t>
      </w:r>
      <w:r w:rsidR="00563A82" w:rsidRPr="00563A82">
        <w:rPr>
          <w:color w:val="000000" w:themeColor="text1"/>
        </w:rPr>
        <w:t xml:space="preserve"> </w:t>
      </w:r>
      <w:r w:rsidR="00563A82">
        <w:rPr>
          <w:color w:val="000000" w:themeColor="text1"/>
        </w:rPr>
        <w:t>in A 12</w:t>
      </w:r>
      <w:r w:rsidR="000E434E">
        <w:rPr>
          <w:color w:val="000000" w:themeColor="text1"/>
        </w:rP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C453E8" w:rsidRDefault="00C453E8" w:rsidP="00C453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</w:rPr>
      </w:pPr>
      <w:r>
        <w:rPr>
          <w:rFonts w:cs="Arial"/>
        </w:rPr>
        <w:t>Im Rahmen der GRDrs</w:t>
      </w:r>
      <w:r w:rsidR="00695CB7">
        <w:rPr>
          <w:rFonts w:cs="Arial"/>
        </w:rPr>
        <w:t>.</w:t>
      </w:r>
      <w:r>
        <w:rPr>
          <w:rFonts w:cs="Arial"/>
        </w:rPr>
        <w:t xml:space="preserve"> 742/2020 hat der Gemeinderat von dem zusätzlichen Personalbedarf aufgrund der </w:t>
      </w:r>
      <w:r>
        <w:t>für die Koordination und Gesamtsteuerung der Umsetzung der Leitlinie für informelle Bürgerbeteiligung beim Amt für Stadtplanung und Wohnen</w:t>
      </w:r>
      <w:r>
        <w:rPr>
          <w:rFonts w:cs="Arial"/>
        </w:rPr>
        <w:t xml:space="preserve"> Kenntnis genommen. Das Kriterium „neue bzw. erweiterte vom Gemeinderat beschlossene Aufgabe oder Einrichtung“ ist erfüllt.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71344A" w:rsidRDefault="0071344A" w:rsidP="00510086"/>
    <w:p w:rsidR="00C453E8" w:rsidRPr="0002116B" w:rsidRDefault="00C453E8" w:rsidP="00C453E8">
      <w:r w:rsidRPr="0002116B">
        <w:t xml:space="preserve">In den Fach-Abteilungen des </w:t>
      </w:r>
      <w:r>
        <w:t>Amts werden von den Mitarbeiter</w:t>
      </w:r>
      <w:r w:rsidR="00BA6D08">
        <w:t>/-</w:t>
      </w:r>
      <w:r>
        <w:t>innen</w:t>
      </w:r>
      <w:r w:rsidRPr="0002116B">
        <w:t xml:space="preserve"> eine Vielzahl von investiven und nicht-investiven Projekten entwickelt und umgesetzt. Die Durchführung begleitender informeller Beteiligungsverfahren ist dabei mittlerweile die Regel.</w:t>
      </w:r>
    </w:p>
    <w:p w:rsidR="00510086" w:rsidRDefault="00510086" w:rsidP="00510086"/>
    <w:p w:rsidR="00510086" w:rsidRDefault="00510086" w:rsidP="00510086">
      <w:r>
        <w:t xml:space="preserve">Mit Einführung der Leitlinie für Bürgerbeteiligung </w:t>
      </w:r>
      <w:r w:rsidR="00C453E8">
        <w:t>werden</w:t>
      </w:r>
      <w:r>
        <w:t xml:space="preserve"> Projekte in einem mehrstufigen Verfahren für die sogenannte Vorhabenliste gemeldet, beschrieben und laufend aktualisiert</w:t>
      </w:r>
      <w:r w:rsidR="00C453E8">
        <w:t>.</w:t>
      </w:r>
      <w:r>
        <w:t xml:space="preserve"> Bei Einbringung in den Beteiligungsbeirat ist zusätzlich ein ausführliches Beteiligungskonzept zu entwickeln, eine Be</w:t>
      </w:r>
      <w:r w:rsidR="00517AB5">
        <w:t>schlussvorlage für die Gremien S</w:t>
      </w:r>
      <w:r>
        <w:t>TA, VA und Bezirksbeirat zu erstellen, sowie das Projekt in diesen Gremien zu präsentieren.</w:t>
      </w:r>
    </w:p>
    <w:p w:rsidR="00510086" w:rsidRDefault="00510086" w:rsidP="00510086"/>
    <w:p w:rsidR="00510086" w:rsidRDefault="0002116B" w:rsidP="00510086">
      <w:r w:rsidRPr="0002116B">
        <w:lastRenderedPageBreak/>
        <w:t>Der Sachbeschluss GRDrs</w:t>
      </w:r>
      <w:r w:rsidR="00695CB7">
        <w:t>.</w:t>
      </w:r>
      <w:r w:rsidRPr="0002116B">
        <w:t xml:space="preserve"> 591/2016, Leitlinie für Bürgerbeteiligung, enthielt keine Personalbedarfsbemessung für die Arbeit bei den betroffenen Ämtern. Wie die </w:t>
      </w:r>
      <w:r w:rsidR="00BD66C7">
        <w:t xml:space="preserve">aktuelle </w:t>
      </w:r>
      <w:r w:rsidRPr="0002116B">
        <w:t>Evaluation</w:t>
      </w:r>
      <w:r w:rsidR="00BD66C7">
        <w:t xml:space="preserve"> (GRDrs</w:t>
      </w:r>
      <w:r w:rsidR="00695CB7">
        <w:t>.</w:t>
      </w:r>
      <w:r w:rsidR="00BD66C7">
        <w:t xml:space="preserve"> 742/2020)</w:t>
      </w:r>
      <w:r w:rsidRPr="0002116B">
        <w:t xml:space="preserve"> aufzeigt und bestätigt, ist mit den städtischen Betei</w:t>
      </w:r>
      <w:r w:rsidR="00532063">
        <w:t>ligungsprozessen im Wesentlichen</w:t>
      </w:r>
      <w:r w:rsidRPr="0002116B">
        <w:t xml:space="preserve"> das Amt für Stadtplanung und Wohnen befasst. </w:t>
      </w:r>
      <w:r w:rsidR="00614022">
        <w:t>Der Arbeitsumfang ist mit dem vorhandenen Personal nicht mehr zu leisten.</w:t>
      </w:r>
      <w:r w:rsidRPr="0002116B">
        <w:br/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9C35EF" w:rsidRDefault="009C35EF" w:rsidP="009C35EF">
      <w:r w:rsidRPr="003056F6">
        <w:t xml:space="preserve">Die bisherigen Personalressourcen reichen </w:t>
      </w:r>
      <w:r w:rsidR="00355A64">
        <w:t xml:space="preserve">nur </w:t>
      </w:r>
      <w:r w:rsidRPr="003056F6">
        <w:t>zur Bewältigung des jeweiligen Tagesge</w:t>
      </w:r>
      <w:r>
        <w:t xml:space="preserve">schäfts aus. Neue </w:t>
      </w:r>
      <w:r w:rsidR="00EE1D2D">
        <w:t>V</w:t>
      </w:r>
      <w:r>
        <w:t xml:space="preserve">erfahren werden nur beantragt, wenn im Gegenzug bestehende </w:t>
      </w:r>
      <w:r w:rsidR="00EE1D2D">
        <w:t>V</w:t>
      </w:r>
      <w:r>
        <w:t xml:space="preserve">erfahren entsprechend aufgehoben </w:t>
      </w:r>
      <w:r w:rsidR="00EE1D2D">
        <w:t xml:space="preserve">beziehungsweise abgeschlossen </w:t>
      </w:r>
      <w:r>
        <w:t>werden können.</w:t>
      </w:r>
    </w:p>
    <w:p w:rsidR="00532063" w:rsidRDefault="00532063" w:rsidP="00BD66C7">
      <w:pPr>
        <w:ind w:left="349"/>
        <w:contextualSpacing/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55A64" w:rsidRDefault="00355A64" w:rsidP="00355A64">
      <w:r>
        <w:t xml:space="preserve">Durch den Mehraufwand aufgrund der Bürgerbeteiligungen und die dadurch gebundenen Kapazitäten </w:t>
      </w:r>
      <w:r w:rsidR="00BA6D08">
        <w:t>sind</w:t>
      </w:r>
      <w:r>
        <w:t xml:space="preserve"> in einzelnen Verfahren bereits erhebliche Verzögerungen in der Durchführung eingetreten. Dies schlägt sich in den folgenden Ausprägungen nieder:</w:t>
      </w:r>
    </w:p>
    <w:p w:rsidR="00355A64" w:rsidRDefault="00355A64" w:rsidP="00355A64"/>
    <w:p w:rsidR="00355A64" w:rsidRPr="00EE1D2D" w:rsidRDefault="00355A64" w:rsidP="00355A64">
      <w:pPr>
        <w:numPr>
          <w:ilvl w:val="0"/>
          <w:numId w:val="8"/>
        </w:numPr>
        <w:ind w:left="709"/>
        <w:contextualSpacing/>
      </w:pPr>
      <w:r w:rsidRPr="00EE1D2D">
        <w:t>Einzelne Projekt- oder Verfahrensziele werden nicht umgesetzt, obwohl sie vom Gemeinderat beschlossen worden sind.</w:t>
      </w:r>
    </w:p>
    <w:p w:rsidR="00355A64" w:rsidRPr="00EE1D2D" w:rsidRDefault="00355A64" w:rsidP="00355A64">
      <w:pPr>
        <w:numPr>
          <w:ilvl w:val="0"/>
          <w:numId w:val="8"/>
        </w:numPr>
        <w:ind w:left="709"/>
        <w:contextualSpacing/>
      </w:pPr>
      <w:r w:rsidRPr="00EE1D2D">
        <w:t xml:space="preserve">Bereits begonnene Planungsprozesse laufen nur sehr langsam an. Dies behindert unter anderem die Einbringung von Fördermitteln. </w:t>
      </w:r>
    </w:p>
    <w:p w:rsidR="00355A64" w:rsidRDefault="00355A64" w:rsidP="00355A64">
      <w:pPr>
        <w:numPr>
          <w:ilvl w:val="0"/>
          <w:numId w:val="8"/>
        </w:numPr>
        <w:ind w:left="709"/>
        <w:contextualSpacing/>
      </w:pPr>
      <w:r w:rsidRPr="00EE1D2D">
        <w:t>Die Festlegung von politisch gewünschten Verfahren, zum Beispiel neue Sanierungsgebiete, wird hinausgeschoben.</w:t>
      </w:r>
    </w:p>
    <w:p w:rsidR="00355A64" w:rsidRDefault="00355A64" w:rsidP="00BA6D08">
      <w:pPr>
        <w:ind w:left="349"/>
        <w:contextualSpacing/>
      </w:pPr>
    </w:p>
    <w:p w:rsidR="00510086" w:rsidRPr="007562E8" w:rsidRDefault="00355A64" w:rsidP="00510086">
      <w:pPr>
        <w:rPr>
          <w:rFonts w:cs="Arial"/>
          <w:szCs w:val="20"/>
        </w:rPr>
      </w:pPr>
      <w:r>
        <w:rPr>
          <w:rFonts w:cs="Arial"/>
          <w:szCs w:val="20"/>
        </w:rPr>
        <w:t>Zahlreiche</w:t>
      </w:r>
      <w:r w:rsidR="00510086" w:rsidRPr="007562E8">
        <w:rPr>
          <w:rFonts w:cs="Arial"/>
          <w:szCs w:val="20"/>
        </w:rPr>
        <w:t xml:space="preserve"> Einzelprojekte der </w:t>
      </w:r>
      <w:r w:rsidR="00735020">
        <w:rPr>
          <w:rFonts w:cs="Arial"/>
          <w:szCs w:val="20"/>
        </w:rPr>
        <w:t xml:space="preserve">Stadtplanung und der </w:t>
      </w:r>
      <w:r w:rsidR="00510086" w:rsidRPr="007562E8">
        <w:rPr>
          <w:rFonts w:cs="Arial"/>
          <w:szCs w:val="20"/>
        </w:rPr>
        <w:t xml:space="preserve">Stadterneuerung </w:t>
      </w:r>
      <w:r>
        <w:rPr>
          <w:rFonts w:cs="Arial"/>
          <w:szCs w:val="20"/>
        </w:rPr>
        <w:t>können</w:t>
      </w:r>
      <w:r w:rsidR="00510086" w:rsidRPr="007562E8">
        <w:rPr>
          <w:rFonts w:cs="Arial"/>
          <w:szCs w:val="20"/>
        </w:rPr>
        <w:t xml:space="preserve"> nur zu einem Bruchteil für die sogenannte </w:t>
      </w:r>
      <w:r>
        <w:rPr>
          <w:rFonts w:cs="Arial"/>
          <w:szCs w:val="20"/>
        </w:rPr>
        <w:t>Vorhabenliste aufbereitet werden. Der</w:t>
      </w:r>
      <w:r w:rsidR="00510086" w:rsidRPr="007562E8">
        <w:rPr>
          <w:rFonts w:cs="Arial"/>
          <w:szCs w:val="20"/>
        </w:rPr>
        <w:t xml:space="preserve"> Anspruch auf Transparenz im städtischen Verwaltungshandeln kann somit nicht erfüllt werden.</w:t>
      </w:r>
    </w:p>
    <w:p w:rsidR="00510086" w:rsidRPr="007562E8" w:rsidRDefault="00510086" w:rsidP="00510086">
      <w:pPr>
        <w:rPr>
          <w:rFonts w:cs="Arial"/>
          <w:szCs w:val="20"/>
        </w:rPr>
      </w:pPr>
    </w:p>
    <w:p w:rsidR="00510086" w:rsidRPr="007562E8" w:rsidRDefault="00510086" w:rsidP="00510086">
      <w:pPr>
        <w:rPr>
          <w:rFonts w:cs="Arial"/>
          <w:szCs w:val="20"/>
        </w:rPr>
      </w:pPr>
      <w:r w:rsidRPr="007562E8">
        <w:rPr>
          <w:rFonts w:cs="Arial"/>
          <w:szCs w:val="20"/>
        </w:rPr>
        <w:t>Die Durchführung von Projekten der Städtebauförderung und die Festlegung von Sanierungsgebieten werden zurückgestellt.</w:t>
      </w:r>
      <w:r>
        <w:rPr>
          <w:rFonts w:cs="Arial"/>
          <w:szCs w:val="20"/>
        </w:rPr>
        <w:t xml:space="preserve"> Vergleichbare Auswirkungen entstehen auch in den anderen Fachabteilungen.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510086" w:rsidRPr="007562E8" w:rsidRDefault="00355A64" w:rsidP="00510086">
      <w:r>
        <w:t>-</w:t>
      </w:r>
    </w:p>
    <w:p w:rsidR="00DE362D" w:rsidRDefault="00DE362D" w:rsidP="00884D6C"/>
    <w:sectPr w:rsidR="00DE362D" w:rsidSect="00326909">
      <w:headerReference w:type="default" r:id="rId7"/>
      <w:pgSz w:w="11907" w:h="16840" w:code="9"/>
      <w:pgMar w:top="1418" w:right="1134" w:bottom="1701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19" w:rsidRDefault="00951519">
      <w:r>
        <w:separator/>
      </w:r>
    </w:p>
  </w:endnote>
  <w:endnote w:type="continuationSeparator" w:id="0">
    <w:p w:rsidR="00951519" w:rsidRDefault="0095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19" w:rsidRDefault="00951519">
      <w:r>
        <w:separator/>
      </w:r>
    </w:p>
  </w:footnote>
  <w:footnote w:type="continuationSeparator" w:id="0">
    <w:p w:rsidR="00951519" w:rsidRDefault="0095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E7559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F5E8C"/>
    <w:multiLevelType w:val="hybridMultilevel"/>
    <w:tmpl w:val="D0B0982E"/>
    <w:lvl w:ilvl="0" w:tplc="A8BA7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2F68523B"/>
    <w:multiLevelType w:val="hybridMultilevel"/>
    <w:tmpl w:val="BB509370"/>
    <w:lvl w:ilvl="0" w:tplc="A8BA7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86F069B"/>
    <w:multiLevelType w:val="hybridMultilevel"/>
    <w:tmpl w:val="5322C504"/>
    <w:lvl w:ilvl="0" w:tplc="A8BA7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19"/>
    <w:rsid w:val="0002116B"/>
    <w:rsid w:val="00055758"/>
    <w:rsid w:val="000A1146"/>
    <w:rsid w:val="000E434E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54CED"/>
    <w:rsid w:val="002924CB"/>
    <w:rsid w:val="002A20D1"/>
    <w:rsid w:val="002A4DE3"/>
    <w:rsid w:val="002B5955"/>
    <w:rsid w:val="0030686C"/>
    <w:rsid w:val="00326909"/>
    <w:rsid w:val="00355A64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4C53B3"/>
    <w:rsid w:val="004D4E4F"/>
    <w:rsid w:val="00510086"/>
    <w:rsid w:val="00517AB5"/>
    <w:rsid w:val="00532063"/>
    <w:rsid w:val="00563A82"/>
    <w:rsid w:val="005A0A9D"/>
    <w:rsid w:val="005A56AA"/>
    <w:rsid w:val="005B7E8D"/>
    <w:rsid w:val="005E19C6"/>
    <w:rsid w:val="005F5B3D"/>
    <w:rsid w:val="00606F80"/>
    <w:rsid w:val="00614022"/>
    <w:rsid w:val="00622CC7"/>
    <w:rsid w:val="00695CB7"/>
    <w:rsid w:val="006A406B"/>
    <w:rsid w:val="006B6D50"/>
    <w:rsid w:val="006E0575"/>
    <w:rsid w:val="00711C03"/>
    <w:rsid w:val="0071344A"/>
    <w:rsid w:val="0072799A"/>
    <w:rsid w:val="00735020"/>
    <w:rsid w:val="00754659"/>
    <w:rsid w:val="007E3B79"/>
    <w:rsid w:val="008066EE"/>
    <w:rsid w:val="00817BB6"/>
    <w:rsid w:val="008725BD"/>
    <w:rsid w:val="00884D6C"/>
    <w:rsid w:val="008F1EB1"/>
    <w:rsid w:val="00920F00"/>
    <w:rsid w:val="009373F6"/>
    <w:rsid w:val="00944A63"/>
    <w:rsid w:val="00951519"/>
    <w:rsid w:val="00976588"/>
    <w:rsid w:val="009811AC"/>
    <w:rsid w:val="009C35EF"/>
    <w:rsid w:val="009E7559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A6D08"/>
    <w:rsid w:val="00BC4669"/>
    <w:rsid w:val="00BD66C7"/>
    <w:rsid w:val="00C16EF1"/>
    <w:rsid w:val="00C448D3"/>
    <w:rsid w:val="00C453E8"/>
    <w:rsid w:val="00CF62E5"/>
    <w:rsid w:val="00D00B4C"/>
    <w:rsid w:val="00D21714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77520"/>
    <w:rsid w:val="00EE1D2D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BE72D"/>
  <w15:docId w15:val="{7A363705-2EF5-426B-B00F-8679E7B9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510086"/>
    <w:pPr>
      <w:spacing w:before="100" w:beforeAutospacing="1" w:after="100" w:afterAutospacing="1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51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Böhm, Susanne</dc:creator>
  <cp:lastModifiedBy>Baumann, Gerhard</cp:lastModifiedBy>
  <cp:revision>12</cp:revision>
  <cp:lastPrinted>2021-09-30T08:49:00Z</cp:lastPrinted>
  <dcterms:created xsi:type="dcterms:W3CDTF">2021-08-06T09:43:00Z</dcterms:created>
  <dcterms:modified xsi:type="dcterms:W3CDTF">2021-09-30T08:49:00Z</dcterms:modified>
</cp:coreProperties>
</file>