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B5981">
        <w:t>12</w:t>
      </w:r>
      <w:r w:rsidRPr="006E0575">
        <w:t xml:space="preserve"> zur GRDrs </w:t>
      </w:r>
      <w:r w:rsidR="00FB5981">
        <w:t>706</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60D91">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CF784D" w:rsidP="0030686C">
            <w:pPr>
              <w:rPr>
                <w:sz w:val="20"/>
              </w:rPr>
            </w:pPr>
            <w:r>
              <w:rPr>
                <w:sz w:val="20"/>
              </w:rPr>
              <w:t>61-4</w:t>
            </w:r>
          </w:p>
          <w:p w:rsidR="0011112B" w:rsidRDefault="0011112B" w:rsidP="0030686C">
            <w:pPr>
              <w:rPr>
                <w:sz w:val="20"/>
              </w:rPr>
            </w:pPr>
          </w:p>
          <w:p w:rsidR="005B6276" w:rsidRPr="005B6276" w:rsidRDefault="005B6276" w:rsidP="005B6276">
            <w:pPr>
              <w:rPr>
                <w:rFonts w:cs="Arial"/>
                <w:bCs/>
                <w:sz w:val="20"/>
                <w:szCs w:val="20"/>
              </w:rPr>
            </w:pPr>
            <w:r w:rsidRPr="005B6276">
              <w:rPr>
                <w:rFonts w:cs="Arial"/>
                <w:bCs/>
                <w:sz w:val="20"/>
                <w:szCs w:val="20"/>
              </w:rPr>
              <w:t>6140</w:t>
            </w:r>
            <w:r w:rsidR="00B363E4">
              <w:rPr>
                <w:rFonts w:cs="Arial"/>
                <w:bCs/>
                <w:sz w:val="20"/>
                <w:szCs w:val="20"/>
              </w:rPr>
              <w:t xml:space="preserve"> </w:t>
            </w:r>
            <w:r w:rsidRPr="005B6276">
              <w:rPr>
                <w:rFonts w:cs="Arial"/>
                <w:bCs/>
                <w:sz w:val="20"/>
                <w:szCs w:val="20"/>
              </w:rPr>
              <w:t>5000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B363E4" w:rsidP="0030686C">
            <w:pPr>
              <w:rPr>
                <w:sz w:val="20"/>
              </w:rPr>
            </w:pPr>
            <w:r>
              <w:rPr>
                <w:sz w:val="20"/>
              </w:rPr>
              <w:t xml:space="preserve">Amt für Stadtplanung und Wohnen </w:t>
            </w:r>
          </w:p>
        </w:tc>
        <w:tc>
          <w:tcPr>
            <w:tcW w:w="794" w:type="dxa"/>
          </w:tcPr>
          <w:p w:rsidR="005F5B3D" w:rsidRDefault="005F5B3D" w:rsidP="0030686C">
            <w:pPr>
              <w:rPr>
                <w:sz w:val="20"/>
              </w:rPr>
            </w:pPr>
          </w:p>
          <w:p w:rsidR="005F5B3D" w:rsidRPr="006E0575" w:rsidRDefault="00760D91" w:rsidP="002B4A58">
            <w:pPr>
              <w:rPr>
                <w:sz w:val="20"/>
              </w:rPr>
            </w:pPr>
            <w:r>
              <w:rPr>
                <w:sz w:val="20"/>
              </w:rPr>
              <w:t xml:space="preserve">EG </w:t>
            </w:r>
            <w:r w:rsidR="00CF784D">
              <w:rPr>
                <w:sz w:val="20"/>
              </w:rPr>
              <w:t>1</w:t>
            </w:r>
            <w:r w:rsidR="002B4A58">
              <w:rPr>
                <w:sz w:val="20"/>
              </w:rPr>
              <w:t>2</w:t>
            </w:r>
          </w:p>
        </w:tc>
        <w:tc>
          <w:tcPr>
            <w:tcW w:w="1928" w:type="dxa"/>
          </w:tcPr>
          <w:p w:rsidR="005F5B3D" w:rsidRDefault="005F5B3D" w:rsidP="0030686C">
            <w:pPr>
              <w:rPr>
                <w:sz w:val="20"/>
              </w:rPr>
            </w:pPr>
          </w:p>
          <w:p w:rsidR="005F5B3D" w:rsidRPr="006E0575" w:rsidRDefault="00760D91" w:rsidP="00604BB4">
            <w:pPr>
              <w:rPr>
                <w:sz w:val="20"/>
              </w:rPr>
            </w:pPr>
            <w:r>
              <w:rPr>
                <w:sz w:val="20"/>
              </w:rPr>
              <w:t>Stadtplaner</w:t>
            </w:r>
            <w:r w:rsidR="00604BB4">
              <w:rPr>
                <w:sz w:val="20"/>
              </w:rPr>
              <w:t>/-</w:t>
            </w:r>
            <w:r>
              <w:rPr>
                <w:sz w:val="20"/>
              </w:rPr>
              <w:t>in</w:t>
            </w:r>
          </w:p>
        </w:tc>
        <w:tc>
          <w:tcPr>
            <w:tcW w:w="737" w:type="dxa"/>
            <w:shd w:val="pct12" w:color="auto" w:fill="FFFFFF"/>
          </w:tcPr>
          <w:p w:rsidR="005F5B3D" w:rsidRDefault="005F5B3D" w:rsidP="0030686C">
            <w:pPr>
              <w:rPr>
                <w:sz w:val="20"/>
              </w:rPr>
            </w:pPr>
          </w:p>
          <w:p w:rsidR="005F5B3D" w:rsidRPr="006E0575" w:rsidRDefault="009945C6" w:rsidP="0030686C">
            <w:pPr>
              <w:rPr>
                <w:sz w:val="20"/>
              </w:rPr>
            </w:pPr>
            <w:r>
              <w:rPr>
                <w:sz w:val="20"/>
              </w:rPr>
              <w:t>1,0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FB5981">
              <w:rPr>
                <w:noProof/>
                <w:sz w:val="20"/>
              </w:rPr>
              <w:t> </w:t>
            </w:r>
            <w:r w:rsidR="00FB5981">
              <w:rPr>
                <w:noProof/>
                <w:sz w:val="20"/>
              </w:rPr>
              <w:t> </w:t>
            </w:r>
            <w:r w:rsidR="00FB5981">
              <w:rPr>
                <w:noProof/>
                <w:sz w:val="20"/>
              </w:rPr>
              <w:t> </w:t>
            </w:r>
            <w:r w:rsidR="00FB5981">
              <w:rPr>
                <w:noProof/>
                <w:sz w:val="20"/>
              </w:rPr>
              <w:t> </w:t>
            </w:r>
            <w:r w:rsidR="00FB5981">
              <w:rPr>
                <w:noProof/>
                <w:sz w:val="20"/>
              </w:rPr>
              <w:t> </w:t>
            </w:r>
            <w:r>
              <w:rPr>
                <w:sz w:val="20"/>
              </w:rPr>
              <w:fldChar w:fldCharType="end"/>
            </w:r>
          </w:p>
        </w:tc>
        <w:tc>
          <w:tcPr>
            <w:tcW w:w="1417" w:type="dxa"/>
          </w:tcPr>
          <w:p w:rsidR="005F5B3D" w:rsidRDefault="005F5B3D" w:rsidP="0030686C">
            <w:pPr>
              <w:rPr>
                <w:sz w:val="20"/>
              </w:rPr>
            </w:pPr>
          </w:p>
          <w:p w:rsidR="005F5B3D" w:rsidRPr="006E0575" w:rsidRDefault="00FB5981" w:rsidP="0030686C">
            <w:pPr>
              <w:rPr>
                <w:sz w:val="20"/>
              </w:rPr>
            </w:pPr>
            <w:r>
              <w:rPr>
                <w:sz w:val="20"/>
              </w:rPr>
              <w:t>87.000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23890" w:rsidRDefault="00223890" w:rsidP="00760D91">
      <w:pPr>
        <w:spacing w:after="120"/>
      </w:pPr>
      <w:r>
        <w:rPr>
          <w:color w:val="000000" w:themeColor="text1"/>
        </w:rPr>
        <w:t xml:space="preserve">Geschaffen wird </w:t>
      </w:r>
      <w:r>
        <w:t>1,0 Stelle</w:t>
      </w:r>
      <w:r w:rsidR="00813E88">
        <w:t xml:space="preserve"> für ein</w:t>
      </w:r>
      <w:r>
        <w:t>/-e Stadtplaner/-</w:t>
      </w:r>
      <w:r w:rsidR="00813E88">
        <w:t xml:space="preserve">in </w:t>
      </w:r>
      <w:r w:rsidR="003D66F4">
        <w:t xml:space="preserve">in EG 12 </w:t>
      </w:r>
      <w:r w:rsidR="00CF784D" w:rsidRPr="00E86EDE">
        <w:t>im Zusammenhang mit der in der GRDrs</w:t>
      </w:r>
      <w:r w:rsidR="00382032">
        <w:t>.</w:t>
      </w:r>
      <w:r w:rsidR="00CF784D" w:rsidRPr="00E86EDE">
        <w:t xml:space="preserve"> 858/2018 formulierten Einrei</w:t>
      </w:r>
      <w:r w:rsidR="0037691D">
        <w:t>chung potenzieller IBA-Projekte</w:t>
      </w:r>
      <w:r w:rsidR="002B4A58">
        <w:t xml:space="preserve"> und </w:t>
      </w:r>
      <w:r w:rsidR="0037691D">
        <w:t>der Tatsache, dass d</w:t>
      </w:r>
      <w:r w:rsidR="002B4A58">
        <w:t>er „Weissenhof 2027</w:t>
      </w:r>
      <w:r w:rsidR="0037691D">
        <w:t>“</w:t>
      </w:r>
      <w:r w:rsidR="002B4A58">
        <w:t xml:space="preserve"> wichtigster Referenzpunkt der zweiten Internationalen Bauausstellung in der Region Stuttgart </w:t>
      </w:r>
      <w:r w:rsidR="0037691D">
        <w:t>ist</w:t>
      </w:r>
      <w:r w:rsidR="003D66F4">
        <w:t xml:space="preserve">. </w:t>
      </w:r>
    </w:p>
    <w:p w:rsidR="003D7B0B" w:rsidRDefault="003D7B0B" w:rsidP="00884D6C">
      <w:pPr>
        <w:pStyle w:val="berschrift1"/>
      </w:pPr>
      <w:r>
        <w:t>2</w:t>
      </w:r>
      <w:r>
        <w:tab/>
        <w:t>Schaffun</w:t>
      </w:r>
      <w:r w:rsidRPr="00884D6C">
        <w:rPr>
          <w:u w:val="none"/>
        </w:rPr>
        <w:t>g</w:t>
      </w:r>
      <w:r>
        <w:t>skriterien</w:t>
      </w:r>
    </w:p>
    <w:p w:rsidR="003D7B0B" w:rsidRPr="00E86EDE" w:rsidRDefault="003D7B0B" w:rsidP="00884D6C"/>
    <w:p w:rsidR="003D7B0B" w:rsidRPr="00E86EDE" w:rsidRDefault="00223890" w:rsidP="00223890">
      <w:r>
        <w:rPr>
          <w:rFonts w:cs="Arial"/>
          <w:color w:val="000000"/>
        </w:rPr>
        <w:t xml:space="preserve">Die Stellenschaffung ist in der „Grünen Liste“ zum Haushalt 2022 enthalten. </w:t>
      </w:r>
      <w:r w:rsidR="00A33745">
        <w:t>Die</w:t>
      </w:r>
      <w:r w:rsidR="00CF784D" w:rsidRPr="00E86EDE">
        <w:t xml:space="preserve"> internationale Bauausstellung IBA </w:t>
      </w:r>
      <w:r w:rsidR="00A33745">
        <w:t>StadtRegion</w:t>
      </w:r>
      <w:r w:rsidR="00CF784D" w:rsidRPr="00E86EDE">
        <w:t xml:space="preserve">Stuttgart </w:t>
      </w:r>
      <w:r w:rsidR="00A33745">
        <w:t xml:space="preserve">wird 2027 </w:t>
      </w:r>
      <w:r w:rsidR="00CF784D" w:rsidRPr="00E86EDE">
        <w:t xml:space="preserve">stattfinden. </w:t>
      </w:r>
      <w:r w:rsidR="009B2C35">
        <w:t>Hierdurch entstehen neue</w:t>
      </w:r>
      <w:r w:rsidR="00760D91">
        <w:t xml:space="preserve"> stadtplanerische</w:t>
      </w:r>
      <w:r w:rsidR="009B2C35">
        <w:t xml:space="preserve"> Aufgaben.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7D4210" w:rsidRDefault="007D4210" w:rsidP="00CF784D">
      <w:pPr>
        <w:ind w:right="85"/>
      </w:pPr>
      <w:r>
        <w:t>Mit dem Präsentationsjahr der IBA’27 jährt sich der Bau dieses Meilensteins der Moderne zum hundertsten Mal. Zusammen mit den Akteuren vor Ort, den Denkmalschutzbehörden und der Stadt Stuttgart will die IBA’27 eine Strategie für die Erneuerung, funktionale Verdichtung und Aufwertung der Siedlung selbst, ihren Außenraum und die direkte Umgebung mit Brenzkirche und Kunstakademie entwickeln. Ein neuer Auftakt, ein neues „Besucher- und Informationszentrum Weissenhof“ soll entstehen.</w:t>
      </w:r>
    </w:p>
    <w:p w:rsidR="007D4210" w:rsidRPr="008566DF" w:rsidRDefault="007D4210" w:rsidP="00CF784D">
      <w:pPr>
        <w:ind w:right="85"/>
        <w:rPr>
          <w:noProof/>
          <w:szCs w:val="22"/>
        </w:rPr>
      </w:pPr>
    </w:p>
    <w:p w:rsidR="00CF784D" w:rsidRDefault="00CF784D" w:rsidP="00CF784D">
      <w:pPr>
        <w:ind w:right="85"/>
        <w:rPr>
          <w:noProof/>
          <w:szCs w:val="22"/>
        </w:rPr>
      </w:pPr>
      <w:r w:rsidRPr="008566DF">
        <w:rPr>
          <w:noProof/>
          <w:szCs w:val="22"/>
        </w:rPr>
        <w:t xml:space="preserve">In der Planungsabteilung Mitte </w:t>
      </w:r>
      <w:r w:rsidR="007D4210">
        <w:rPr>
          <w:noProof/>
          <w:szCs w:val="22"/>
        </w:rPr>
        <w:t>soll</w:t>
      </w:r>
      <w:r w:rsidR="00700694" w:rsidRPr="008566DF">
        <w:rPr>
          <w:noProof/>
          <w:szCs w:val="22"/>
        </w:rPr>
        <w:t xml:space="preserve"> eine</w:t>
      </w:r>
      <w:r w:rsidRPr="008566DF">
        <w:rPr>
          <w:noProof/>
          <w:szCs w:val="22"/>
        </w:rPr>
        <w:t xml:space="preserve"> </w:t>
      </w:r>
      <w:r w:rsidR="00633CD7" w:rsidRPr="008566DF">
        <w:rPr>
          <w:noProof/>
          <w:szCs w:val="22"/>
        </w:rPr>
        <w:t xml:space="preserve">intensive </w:t>
      </w:r>
      <w:r w:rsidRPr="008566DF">
        <w:rPr>
          <w:noProof/>
          <w:szCs w:val="22"/>
        </w:rPr>
        <w:t>inhaltlich</w:t>
      </w:r>
      <w:r w:rsidR="003E6802" w:rsidRPr="008566DF">
        <w:rPr>
          <w:noProof/>
          <w:szCs w:val="22"/>
        </w:rPr>
        <w:t>e</w:t>
      </w:r>
      <w:r w:rsidRPr="008566DF">
        <w:rPr>
          <w:noProof/>
          <w:szCs w:val="22"/>
        </w:rPr>
        <w:t xml:space="preserve"> </w:t>
      </w:r>
      <w:r w:rsidR="007D4210">
        <w:rPr>
          <w:noProof/>
          <w:szCs w:val="22"/>
        </w:rPr>
        <w:t xml:space="preserve">Begleitung </w:t>
      </w:r>
      <w:r w:rsidR="00FE2D82">
        <w:rPr>
          <w:noProof/>
          <w:szCs w:val="22"/>
        </w:rPr>
        <w:t xml:space="preserve">erfolgen </w:t>
      </w:r>
      <w:r w:rsidR="007D4210">
        <w:rPr>
          <w:noProof/>
          <w:szCs w:val="22"/>
        </w:rPr>
        <w:t xml:space="preserve">und das Bebauungsplanverfahren als Grundlage für die Neubauvorhaben </w:t>
      </w:r>
      <w:r w:rsidR="00AF6067">
        <w:rPr>
          <w:noProof/>
          <w:szCs w:val="22"/>
        </w:rPr>
        <w:t>er</w:t>
      </w:r>
      <w:r w:rsidR="007D4210">
        <w:rPr>
          <w:noProof/>
          <w:szCs w:val="22"/>
        </w:rPr>
        <w:t>arbeitet werden.</w:t>
      </w:r>
      <w:r w:rsidRPr="008566DF">
        <w:rPr>
          <w:noProof/>
          <w:szCs w:val="22"/>
        </w:rPr>
        <w:t xml:space="preserve"> </w:t>
      </w:r>
    </w:p>
    <w:p w:rsidR="00760D91" w:rsidRPr="008566DF" w:rsidRDefault="00760D91" w:rsidP="00CF784D">
      <w:pPr>
        <w:ind w:right="85"/>
        <w:rPr>
          <w:noProof/>
          <w:szCs w:val="22"/>
        </w:rPr>
      </w:pPr>
    </w:p>
    <w:p w:rsidR="006E0575" w:rsidRPr="006E0575" w:rsidRDefault="006E0575" w:rsidP="00884D6C"/>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0A58EF" w:rsidRDefault="006C1565" w:rsidP="000A58EF">
      <w:pPr>
        <w:spacing w:after="120"/>
      </w:pPr>
      <w:r w:rsidRPr="008566DF">
        <w:t>Mit den</w:t>
      </w:r>
      <w:r w:rsidR="00BD1961" w:rsidRPr="008566DF">
        <w:t xml:space="preserve"> vorhandenen Personalkapazitäten können die </w:t>
      </w:r>
      <w:r w:rsidR="00382E7A">
        <w:t>neuen</w:t>
      </w:r>
      <w:r w:rsidR="00233C42">
        <w:t xml:space="preserve"> Aufgaben </w:t>
      </w:r>
      <w:r w:rsidR="00AF6067">
        <w:t xml:space="preserve">nicht </w:t>
      </w:r>
      <w:r w:rsidR="00AF6067" w:rsidRPr="008566DF">
        <w:t>bewältigt werden</w:t>
      </w:r>
      <w:r w:rsidR="000A58EF">
        <w:t xml:space="preserve">. </w:t>
      </w:r>
    </w:p>
    <w:p w:rsidR="000A58EF" w:rsidRDefault="000A58EF" w:rsidP="000A58EF">
      <w:pPr>
        <w:spacing w:after="120"/>
      </w:pPr>
      <w:r>
        <w:t>Zu berücksichtigen ist auch der immens hohe Abstimmungsaufwand, wie er derzeit mit allen IBA-Projekten verbunden ist.</w:t>
      </w:r>
    </w:p>
    <w:p w:rsidR="003D7B0B" w:rsidRDefault="006E0575" w:rsidP="00884D6C">
      <w:pPr>
        <w:pStyle w:val="berschrift2"/>
      </w:pPr>
      <w:r>
        <w:t>3.3</w:t>
      </w:r>
      <w:r w:rsidR="003D7B0B">
        <w:tab/>
        <w:t>Auswirkungen bei Ablehnung der Stellenschaffungen</w:t>
      </w:r>
    </w:p>
    <w:p w:rsidR="003D7B0B" w:rsidRDefault="003D7B0B" w:rsidP="00884D6C"/>
    <w:p w:rsidR="00CF784D" w:rsidRDefault="00AF6067" w:rsidP="00CF784D">
      <w:r>
        <w:t>Für eine termingerechte Planung und Begleitung der</w:t>
      </w:r>
      <w:r w:rsidRPr="00E86EDE">
        <w:t xml:space="preserve"> Umsetzung</w:t>
      </w:r>
      <w:r>
        <w:t xml:space="preserve"> des IBA-Projektes ist die Stellenschaffung notwendig.</w:t>
      </w:r>
      <w:r w:rsidRPr="00E86EDE">
        <w:t xml:space="preserve"> </w:t>
      </w:r>
    </w:p>
    <w:p w:rsidR="003D7B0B" w:rsidRDefault="00884D6C" w:rsidP="00884D6C">
      <w:pPr>
        <w:pStyle w:val="berschrift1"/>
      </w:pPr>
      <w:r>
        <w:t>4</w:t>
      </w:r>
      <w:r>
        <w:tab/>
      </w:r>
      <w:r w:rsidR="003D7B0B">
        <w:t>Stellenvermerke</w:t>
      </w:r>
    </w:p>
    <w:p w:rsidR="003D7B0B" w:rsidRDefault="003D7B0B" w:rsidP="00884D6C"/>
    <w:p w:rsidR="00CF784D" w:rsidRPr="00E86EDE" w:rsidRDefault="00AF6067" w:rsidP="00CF784D">
      <w:r>
        <w:t>-</w:t>
      </w:r>
    </w:p>
    <w:p w:rsidR="00DE362D" w:rsidRDefault="00DE362D" w:rsidP="00884D6C"/>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1F" w:rsidRDefault="0018621F">
      <w:r>
        <w:separator/>
      </w:r>
    </w:p>
  </w:endnote>
  <w:endnote w:type="continuationSeparator" w:id="0">
    <w:p w:rsidR="0018621F" w:rsidRDefault="0018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1F" w:rsidRDefault="0018621F">
      <w:r>
        <w:separator/>
      </w:r>
    </w:p>
  </w:footnote>
  <w:footnote w:type="continuationSeparator" w:id="0">
    <w:p w:rsidR="0018621F" w:rsidRDefault="0018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B598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7D4A5B9A"/>
    <w:multiLevelType w:val="hybridMultilevel"/>
    <w:tmpl w:val="F51239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1F"/>
    <w:rsid w:val="00032038"/>
    <w:rsid w:val="00055758"/>
    <w:rsid w:val="0008462B"/>
    <w:rsid w:val="000A1146"/>
    <w:rsid w:val="000A58EF"/>
    <w:rsid w:val="001034AF"/>
    <w:rsid w:val="0011112B"/>
    <w:rsid w:val="0014415D"/>
    <w:rsid w:val="00151488"/>
    <w:rsid w:val="00162C60"/>
    <w:rsid w:val="00163034"/>
    <w:rsid w:val="00164678"/>
    <w:rsid w:val="00165C0D"/>
    <w:rsid w:val="00181857"/>
    <w:rsid w:val="00184EDC"/>
    <w:rsid w:val="0018621F"/>
    <w:rsid w:val="00194770"/>
    <w:rsid w:val="001A5F9B"/>
    <w:rsid w:val="001F7237"/>
    <w:rsid w:val="00223890"/>
    <w:rsid w:val="00233C42"/>
    <w:rsid w:val="0028739C"/>
    <w:rsid w:val="002924CB"/>
    <w:rsid w:val="002A20D1"/>
    <w:rsid w:val="002A4DE3"/>
    <w:rsid w:val="002B4A58"/>
    <w:rsid w:val="002B5955"/>
    <w:rsid w:val="0030686C"/>
    <w:rsid w:val="0037691D"/>
    <w:rsid w:val="00380937"/>
    <w:rsid w:val="00382032"/>
    <w:rsid w:val="00382E7A"/>
    <w:rsid w:val="00397717"/>
    <w:rsid w:val="003D66F4"/>
    <w:rsid w:val="003D7B0B"/>
    <w:rsid w:val="003E6802"/>
    <w:rsid w:val="003F0FAA"/>
    <w:rsid w:val="003F4BD7"/>
    <w:rsid w:val="004660E1"/>
    <w:rsid w:val="00470135"/>
    <w:rsid w:val="0047606A"/>
    <w:rsid w:val="00484267"/>
    <w:rsid w:val="0048676E"/>
    <w:rsid w:val="004908B5"/>
    <w:rsid w:val="0049121B"/>
    <w:rsid w:val="004A1688"/>
    <w:rsid w:val="004B6796"/>
    <w:rsid w:val="005A0A9D"/>
    <w:rsid w:val="005A56AA"/>
    <w:rsid w:val="005B6276"/>
    <w:rsid w:val="005C6D42"/>
    <w:rsid w:val="005E19C6"/>
    <w:rsid w:val="005F5B3D"/>
    <w:rsid w:val="00604BB4"/>
    <w:rsid w:val="00606F80"/>
    <w:rsid w:val="00622CC7"/>
    <w:rsid w:val="00633CD7"/>
    <w:rsid w:val="006A406B"/>
    <w:rsid w:val="006B6D50"/>
    <w:rsid w:val="006C1565"/>
    <w:rsid w:val="006E0575"/>
    <w:rsid w:val="00700694"/>
    <w:rsid w:val="0072799A"/>
    <w:rsid w:val="00754659"/>
    <w:rsid w:val="00760D91"/>
    <w:rsid w:val="007D4210"/>
    <w:rsid w:val="007E3B79"/>
    <w:rsid w:val="00803BC8"/>
    <w:rsid w:val="008066EE"/>
    <w:rsid w:val="00813E88"/>
    <w:rsid w:val="00817BB6"/>
    <w:rsid w:val="008566DF"/>
    <w:rsid w:val="00884D6C"/>
    <w:rsid w:val="00920F00"/>
    <w:rsid w:val="009373F6"/>
    <w:rsid w:val="00976035"/>
    <w:rsid w:val="00976588"/>
    <w:rsid w:val="009945C6"/>
    <w:rsid w:val="009B2C35"/>
    <w:rsid w:val="009F1AFE"/>
    <w:rsid w:val="00A27CA7"/>
    <w:rsid w:val="00A33745"/>
    <w:rsid w:val="00A45B30"/>
    <w:rsid w:val="00A47D3F"/>
    <w:rsid w:val="00A71D0A"/>
    <w:rsid w:val="00A77F1E"/>
    <w:rsid w:val="00A847C4"/>
    <w:rsid w:val="00AB389D"/>
    <w:rsid w:val="00AE7B02"/>
    <w:rsid w:val="00AF0DEA"/>
    <w:rsid w:val="00AF25E0"/>
    <w:rsid w:val="00AF6067"/>
    <w:rsid w:val="00B04290"/>
    <w:rsid w:val="00B363E4"/>
    <w:rsid w:val="00B80DEF"/>
    <w:rsid w:val="00B839A8"/>
    <w:rsid w:val="00B86BB5"/>
    <w:rsid w:val="00B91903"/>
    <w:rsid w:val="00BC4669"/>
    <w:rsid w:val="00BD1961"/>
    <w:rsid w:val="00C16EF1"/>
    <w:rsid w:val="00C448D3"/>
    <w:rsid w:val="00C46DEC"/>
    <w:rsid w:val="00C90118"/>
    <w:rsid w:val="00CF62E5"/>
    <w:rsid w:val="00CF784D"/>
    <w:rsid w:val="00D11507"/>
    <w:rsid w:val="00D66D3A"/>
    <w:rsid w:val="00D743D4"/>
    <w:rsid w:val="00DB3D6C"/>
    <w:rsid w:val="00DE362D"/>
    <w:rsid w:val="00E014B6"/>
    <w:rsid w:val="00E1162F"/>
    <w:rsid w:val="00E11D5F"/>
    <w:rsid w:val="00E20E1F"/>
    <w:rsid w:val="00E42F96"/>
    <w:rsid w:val="00E7118F"/>
    <w:rsid w:val="00E86EDE"/>
    <w:rsid w:val="00F27657"/>
    <w:rsid w:val="00F342DC"/>
    <w:rsid w:val="00F4399A"/>
    <w:rsid w:val="00F56F93"/>
    <w:rsid w:val="00F63041"/>
    <w:rsid w:val="00F76452"/>
    <w:rsid w:val="00F770FD"/>
    <w:rsid w:val="00FB5981"/>
    <w:rsid w:val="00FD6B46"/>
    <w:rsid w:val="00FE2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4EEBF"/>
  <w15:docId w15:val="{3F4E72CE-4C6A-4F80-8037-BD8E6FE4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zur Brügge, Carolin</dc:creator>
  <cp:lastModifiedBy>Baumann, Gerhard</cp:lastModifiedBy>
  <cp:revision>10</cp:revision>
  <cp:lastPrinted>2021-09-30T08:46:00Z</cp:lastPrinted>
  <dcterms:created xsi:type="dcterms:W3CDTF">2021-09-14T13:45:00Z</dcterms:created>
  <dcterms:modified xsi:type="dcterms:W3CDTF">2021-09-30T08:46:00Z</dcterms:modified>
</cp:coreProperties>
</file>