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25239">
        <w:rPr>
          <w:szCs w:val="24"/>
        </w:rPr>
        <w:t>11</w:t>
      </w:r>
      <w:r w:rsidRPr="006E0575">
        <w:rPr>
          <w:szCs w:val="24"/>
        </w:rPr>
        <w:t xml:space="preserve"> zur GRDrs </w:t>
      </w:r>
      <w:r w:rsidR="00725239">
        <w:rPr>
          <w:szCs w:val="24"/>
        </w:rPr>
        <w:t>706</w:t>
      </w:r>
      <w:r w:rsidR="007457E1">
        <w:rPr>
          <w:szCs w:val="24"/>
        </w:rPr>
        <w:t>/</w:t>
      </w:r>
      <w:r w:rsidR="00725239">
        <w:rPr>
          <w:szCs w:val="24"/>
        </w:rPr>
        <w:t>2021</w:t>
      </w:r>
    </w:p>
    <w:p w:rsidR="003D7B0B" w:rsidRPr="006E0575" w:rsidRDefault="003D7B0B" w:rsidP="006E0575"/>
    <w:p w:rsidR="003D7B0B" w:rsidRPr="006E0575" w:rsidRDefault="003D7B0B" w:rsidP="006E0575"/>
    <w:p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</w:t>
      </w:r>
      <w:r w:rsidRPr="006E0575">
        <w:rPr>
          <w:b/>
          <w:sz w:val="36"/>
        </w:rPr>
        <w:t>g</w:t>
      </w:r>
      <w:r>
        <w:rPr>
          <w:b/>
          <w:sz w:val="36"/>
          <w:u w:val="single"/>
        </w:rPr>
        <w:t xml:space="preserve"> zum Stellenplan </w:t>
      </w:r>
      <w:r w:rsidR="00595413">
        <w:rPr>
          <w:b/>
          <w:sz w:val="36"/>
          <w:u w:val="single"/>
        </w:rPr>
        <w:t>2022</w:t>
      </w:r>
    </w:p>
    <w:p w:rsidR="003D7B0B" w:rsidRDefault="003D7B0B" w:rsidP="006E0575"/>
    <w:p w:rsidR="003D7B0B" w:rsidRDefault="003D7B0B" w:rsidP="006E057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794"/>
        <w:gridCol w:w="794"/>
        <w:gridCol w:w="1928"/>
        <w:gridCol w:w="737"/>
        <w:gridCol w:w="1134"/>
        <w:gridCol w:w="1417"/>
      </w:tblGrid>
      <w:tr w:rsidR="003D7B0B" w:rsidRPr="006E0575" w:rsidTr="00AA7098">
        <w:trPr>
          <w:tblHeader/>
        </w:trPr>
        <w:tc>
          <w:tcPr>
            <w:tcW w:w="1129" w:type="dxa"/>
            <w:shd w:val="pct12" w:color="auto" w:fill="FFFFFF"/>
            <w:vAlign w:val="center"/>
          </w:tcPr>
          <w:p w:rsidR="003D7B0B" w:rsidRPr="006E0575" w:rsidRDefault="003D7B0B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 w:rsidR="004B6796"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6E0575" w:rsidRPr="006E0575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(aut. Stpl.)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3D7B0B" w:rsidRPr="006E0575" w:rsidRDefault="003D7B0B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3D7B0B" w:rsidRPr="006E0575" w:rsidRDefault="003D7B0B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="006E0575" w:rsidRPr="006E0575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wert</w:t>
            </w:r>
            <w:r w:rsidR="006E0575" w:rsidRPr="006E0575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Haushalt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3D7B0B" w:rsidRPr="006E0575" w:rsidRDefault="003D7B0B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St.</w:t>
            </w:r>
            <w:r w:rsidR="004A1688">
              <w:rPr>
                <w:sz w:val="16"/>
                <w:szCs w:val="16"/>
              </w:rPr>
              <w:t>-</w:t>
            </w:r>
            <w:r w:rsidRPr="006E0575">
              <w:rPr>
                <w:sz w:val="16"/>
                <w:szCs w:val="16"/>
              </w:rPr>
              <w:t>Schl.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3D7B0B" w:rsidRPr="006E0575" w:rsidRDefault="003D7B0B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3D7B0B" w:rsidRPr="006E0575" w:rsidRDefault="003D7B0B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 w:rsidR="00470135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="006E0575" w:rsidRPr="006E0575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3D7B0B" w:rsidRPr="006E0575" w:rsidRDefault="003D7B0B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="006E0575" w:rsidRPr="006E0575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3D7B0B" w:rsidRPr="006E0575" w:rsidRDefault="004A1688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3D7B0B" w:rsidRPr="006E0575">
              <w:rPr>
                <w:sz w:val="16"/>
                <w:szCs w:val="16"/>
              </w:rPr>
              <w:t>urchschnittl.</w:t>
            </w:r>
            <w:r w:rsidR="00470135">
              <w:rPr>
                <w:sz w:val="16"/>
                <w:szCs w:val="16"/>
              </w:rPr>
              <w:br/>
            </w:r>
            <w:r w:rsidR="003D7B0B" w:rsidRPr="006E0575">
              <w:rPr>
                <w:sz w:val="16"/>
                <w:szCs w:val="16"/>
              </w:rPr>
              <w:t>jährl. kosten-</w:t>
            </w:r>
            <w:r w:rsidR="00470135">
              <w:rPr>
                <w:sz w:val="16"/>
                <w:szCs w:val="16"/>
              </w:rPr>
              <w:br/>
              <w:t>wirksamer</w:t>
            </w:r>
            <w:r w:rsidR="00470135">
              <w:rPr>
                <w:sz w:val="16"/>
                <w:szCs w:val="16"/>
              </w:rPr>
              <w:br/>
            </w:r>
            <w:r w:rsidR="003D7B0B" w:rsidRPr="006E0575">
              <w:rPr>
                <w:sz w:val="16"/>
                <w:szCs w:val="16"/>
              </w:rPr>
              <w:t>Auf</w:t>
            </w:r>
            <w:r w:rsidR="006E0575">
              <w:rPr>
                <w:sz w:val="16"/>
                <w:szCs w:val="16"/>
              </w:rPr>
              <w:t>wand</w:t>
            </w:r>
            <w:r w:rsidR="005E19C6">
              <w:rPr>
                <w:sz w:val="16"/>
                <w:szCs w:val="16"/>
              </w:rPr>
              <w:br/>
            </w:r>
            <w:r w:rsidR="006E0575">
              <w:rPr>
                <w:sz w:val="16"/>
                <w:szCs w:val="16"/>
              </w:rPr>
              <w:t>Euro</w:t>
            </w:r>
          </w:p>
        </w:tc>
      </w:tr>
      <w:tr w:rsidR="003D7B0B" w:rsidRPr="006E0575" w:rsidTr="00AA7098">
        <w:tc>
          <w:tcPr>
            <w:tcW w:w="1129" w:type="dxa"/>
          </w:tcPr>
          <w:p w:rsidR="006E0575" w:rsidRDefault="006E0575" w:rsidP="006E0575">
            <w:pPr>
              <w:rPr>
                <w:sz w:val="20"/>
              </w:rPr>
            </w:pPr>
          </w:p>
          <w:p w:rsidR="006E0575" w:rsidRDefault="005E2757" w:rsidP="006E0575">
            <w:pPr>
              <w:rPr>
                <w:sz w:val="20"/>
              </w:rPr>
            </w:pPr>
            <w:r>
              <w:rPr>
                <w:sz w:val="20"/>
              </w:rPr>
              <w:t>61</w:t>
            </w:r>
            <w:r w:rsidR="0004675F">
              <w:rPr>
                <w:sz w:val="20"/>
              </w:rPr>
              <w:t>-2.3</w:t>
            </w:r>
          </w:p>
          <w:p w:rsidR="00F93131" w:rsidRDefault="00F93131" w:rsidP="006E0575">
            <w:pPr>
              <w:rPr>
                <w:sz w:val="20"/>
              </w:rPr>
            </w:pPr>
          </w:p>
          <w:p w:rsidR="0004675F" w:rsidRDefault="0004675F" w:rsidP="006E0575">
            <w:pPr>
              <w:rPr>
                <w:sz w:val="20"/>
              </w:rPr>
            </w:pPr>
            <w:r>
              <w:rPr>
                <w:sz w:val="20"/>
              </w:rPr>
              <w:t>6123</w:t>
            </w:r>
            <w:r w:rsidR="00AA7098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="00AA7098">
              <w:rPr>
                <w:sz w:val="20"/>
              </w:rPr>
              <w:t>0</w:t>
            </w:r>
          </w:p>
          <w:p w:rsidR="00F63041" w:rsidRPr="006E0575" w:rsidRDefault="00F63041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81692" w:rsidRDefault="00681692" w:rsidP="006E0575">
            <w:pPr>
              <w:rPr>
                <w:sz w:val="20"/>
              </w:rPr>
            </w:pPr>
          </w:p>
          <w:p w:rsidR="006E0575" w:rsidRPr="006E0575" w:rsidRDefault="005E2757" w:rsidP="0012595C">
            <w:pPr>
              <w:rPr>
                <w:sz w:val="20"/>
              </w:rPr>
            </w:pPr>
            <w:r>
              <w:rPr>
                <w:sz w:val="20"/>
              </w:rPr>
              <w:t xml:space="preserve">Amt für Stadtplanung und </w:t>
            </w:r>
            <w:r w:rsidR="0012595C" w:rsidRPr="00CA61AE">
              <w:rPr>
                <w:sz w:val="20"/>
              </w:rPr>
              <w:t xml:space="preserve">Wohnen </w:t>
            </w:r>
          </w:p>
        </w:tc>
        <w:tc>
          <w:tcPr>
            <w:tcW w:w="794" w:type="dxa"/>
          </w:tcPr>
          <w:p w:rsidR="00E72DD0" w:rsidRDefault="00E72DD0" w:rsidP="004D0B2F">
            <w:pPr>
              <w:rPr>
                <w:sz w:val="20"/>
              </w:rPr>
            </w:pPr>
          </w:p>
          <w:p w:rsidR="006E0575" w:rsidRPr="006E0575" w:rsidRDefault="005E2757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</w:t>
            </w:r>
            <w:r w:rsidR="0014679C">
              <w:rPr>
                <w:sz w:val="20"/>
              </w:rPr>
              <w:t>3</w:t>
            </w:r>
          </w:p>
        </w:tc>
        <w:tc>
          <w:tcPr>
            <w:tcW w:w="794" w:type="dxa"/>
          </w:tcPr>
          <w:p w:rsidR="003D7B0B" w:rsidRDefault="003D7B0B" w:rsidP="001F7237">
            <w:pPr>
              <w:jc w:val="center"/>
              <w:rPr>
                <w:sz w:val="20"/>
              </w:rPr>
            </w:pPr>
          </w:p>
          <w:p w:rsidR="006E0575" w:rsidRPr="006E0575" w:rsidRDefault="00470135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5239">
              <w:rPr>
                <w:noProof/>
                <w:sz w:val="20"/>
              </w:rPr>
              <w:t> </w:t>
            </w:r>
            <w:r w:rsidR="00725239">
              <w:rPr>
                <w:noProof/>
                <w:sz w:val="20"/>
              </w:rPr>
              <w:t> </w:t>
            </w:r>
            <w:r w:rsidR="00725239">
              <w:rPr>
                <w:noProof/>
                <w:sz w:val="20"/>
              </w:rPr>
              <w:t> </w:t>
            </w:r>
            <w:r w:rsidR="00725239">
              <w:rPr>
                <w:noProof/>
                <w:sz w:val="20"/>
              </w:rPr>
              <w:t> </w:t>
            </w:r>
            <w:r w:rsidR="0072523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28" w:type="dxa"/>
          </w:tcPr>
          <w:p w:rsidR="003D7B0B" w:rsidRDefault="003D7B0B" w:rsidP="006E0575">
            <w:pPr>
              <w:rPr>
                <w:sz w:val="20"/>
              </w:rPr>
            </w:pPr>
          </w:p>
          <w:p w:rsidR="006E0575" w:rsidRPr="006E0575" w:rsidRDefault="00834050" w:rsidP="00AA7098">
            <w:pPr>
              <w:rPr>
                <w:sz w:val="20"/>
              </w:rPr>
            </w:pPr>
            <w:r>
              <w:rPr>
                <w:sz w:val="20"/>
              </w:rPr>
              <w:t>Landschafts</w:t>
            </w:r>
            <w:r w:rsidR="00AA7098">
              <w:rPr>
                <w:sz w:val="20"/>
              </w:rPr>
              <w:softHyphen/>
              <w:t>-</w:t>
            </w:r>
            <w:r w:rsidR="00AA7098">
              <w:rPr>
                <w:sz w:val="20"/>
              </w:rPr>
              <w:br/>
            </w:r>
            <w:r>
              <w:rPr>
                <w:sz w:val="20"/>
              </w:rPr>
              <w:t>archi</w:t>
            </w:r>
            <w:r w:rsidR="0007252B">
              <w:rPr>
                <w:sz w:val="20"/>
              </w:rPr>
              <w:t>tekt</w:t>
            </w:r>
            <w:r w:rsidR="00AA7098">
              <w:rPr>
                <w:sz w:val="20"/>
              </w:rPr>
              <w:t>/-</w:t>
            </w:r>
            <w:r w:rsidR="00681692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6E0575" w:rsidRDefault="006E0575" w:rsidP="001F7237">
            <w:pPr>
              <w:jc w:val="center"/>
              <w:rPr>
                <w:sz w:val="20"/>
              </w:rPr>
            </w:pPr>
          </w:p>
          <w:p w:rsidR="005E2757" w:rsidRPr="006E0575" w:rsidRDefault="004D0B2F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2757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3D7B0B" w:rsidRDefault="003D7B0B" w:rsidP="001F7237">
            <w:pPr>
              <w:jc w:val="center"/>
              <w:rPr>
                <w:sz w:val="20"/>
              </w:rPr>
            </w:pPr>
          </w:p>
          <w:p w:rsidR="006E0575" w:rsidRPr="006E0575" w:rsidRDefault="004B6796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5239">
              <w:rPr>
                <w:noProof/>
                <w:sz w:val="20"/>
              </w:rPr>
              <w:t> </w:t>
            </w:r>
            <w:r w:rsidR="00725239">
              <w:rPr>
                <w:noProof/>
                <w:sz w:val="20"/>
              </w:rPr>
              <w:t> </w:t>
            </w:r>
            <w:r w:rsidR="00725239">
              <w:rPr>
                <w:noProof/>
                <w:sz w:val="20"/>
              </w:rPr>
              <w:t> </w:t>
            </w:r>
            <w:r w:rsidR="00725239">
              <w:rPr>
                <w:noProof/>
                <w:sz w:val="20"/>
              </w:rPr>
              <w:t> </w:t>
            </w:r>
            <w:r w:rsidR="0072523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3D7B0B" w:rsidRDefault="003D7B0B" w:rsidP="001F7237">
            <w:pPr>
              <w:jc w:val="center"/>
              <w:rPr>
                <w:sz w:val="20"/>
              </w:rPr>
            </w:pPr>
          </w:p>
          <w:p w:rsidR="006E0575" w:rsidRPr="006E0575" w:rsidRDefault="00725239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89.500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D0B2F" w:rsidRDefault="0086795C" w:rsidP="00B031DB">
      <w:r>
        <w:rPr>
          <w:color w:val="000000" w:themeColor="text1"/>
        </w:rPr>
        <w:t xml:space="preserve">Geschaffen wird eine 1,0 Stelle </w:t>
      </w:r>
      <w:r w:rsidRPr="00DB0978">
        <w:rPr>
          <w:color w:val="000000" w:themeColor="text1"/>
        </w:rPr>
        <w:t>Landschaftsarchitekt/-in (Dipl. Ing. Uni/Master) bei der Abteilung</w:t>
      </w:r>
      <w:r w:rsidR="00DB0978">
        <w:rPr>
          <w:color w:val="000000" w:themeColor="text1"/>
        </w:rPr>
        <w:t xml:space="preserve"> Stadtentwicklung</w:t>
      </w:r>
      <w:r w:rsidRPr="000E434E">
        <w:rPr>
          <w:color w:val="000000" w:themeColor="text1"/>
        </w:rPr>
        <w:t xml:space="preserve"> des Amts für Stadtplanung und </w:t>
      </w:r>
      <w:r>
        <w:rPr>
          <w:color w:val="000000" w:themeColor="text1"/>
        </w:rPr>
        <w:t>Wohnen</w:t>
      </w:r>
      <w:r w:rsidRPr="00563A8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</w:t>
      </w:r>
      <w:r w:rsidR="00DB0978">
        <w:rPr>
          <w:color w:val="000000" w:themeColor="text1"/>
        </w:rPr>
        <w:t>EG 13</w:t>
      </w:r>
      <w:r w:rsidR="00B031DB">
        <w:rPr>
          <w:color w:val="000000" w:themeColor="text1"/>
        </w:rPr>
        <w:t xml:space="preserve"> </w:t>
      </w:r>
      <w:r w:rsidR="00694032">
        <w:t xml:space="preserve">für die Planung und Koordination von </w:t>
      </w:r>
      <w:r w:rsidR="00681692">
        <w:t>IBA-</w:t>
      </w:r>
      <w:r w:rsidR="00694032">
        <w:t xml:space="preserve">Projekten </w:t>
      </w:r>
      <w:r w:rsidR="006A650E">
        <w:t>im</w:t>
      </w:r>
      <w:r w:rsidR="00D5300B">
        <w:t xml:space="preserve"> Zusammenhang mit dem</w:t>
      </w:r>
      <w:r w:rsidR="00694032">
        <w:t xml:space="preserve"> </w:t>
      </w:r>
      <w:r w:rsidR="00D5300B">
        <w:t>„Erlebnisraum</w:t>
      </w:r>
      <w:r w:rsidR="00694032">
        <w:t xml:space="preserve"> Neckar – Stuttgart als Stadt am Fluss</w:t>
      </w:r>
      <w:r w:rsidR="00D5300B">
        <w:t>“</w:t>
      </w:r>
      <w:r w:rsidR="008F415C">
        <w:t>, hier: Teilprojekt Vernetzung Untertürkheim</w:t>
      </w:r>
      <w:r w:rsidR="00F93131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86795C" w:rsidRDefault="0086795C" w:rsidP="0086795C"/>
    <w:p w:rsidR="0086795C" w:rsidRPr="0086795C" w:rsidRDefault="0086795C" w:rsidP="0086795C">
      <w:r>
        <w:rPr>
          <w:rFonts w:cs="Arial"/>
          <w:color w:val="000000"/>
          <w:szCs w:val="24"/>
        </w:rPr>
        <w:t xml:space="preserve">Die Stellenschaffung ist in der „Grünen Liste“ zum Haushalt 2022 enthalten als Teil der Planungsmaßnahme IBA-Projekte. 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626DBA">
      <w:pPr>
        <w:pStyle w:val="berschrift2"/>
        <w:spacing w:after="120"/>
      </w:pPr>
      <w:r w:rsidRPr="00884D6C">
        <w:t>3.1</w:t>
      </w:r>
      <w:r w:rsidRPr="00884D6C">
        <w:tab/>
      </w:r>
      <w:r w:rsidR="006E0575" w:rsidRPr="00884D6C">
        <w:t>Anlass</w:t>
      </w:r>
    </w:p>
    <w:p w:rsidR="00DB0978" w:rsidRDefault="00396B80" w:rsidP="00694032">
      <w:pPr>
        <w:spacing w:after="120"/>
        <w:rPr>
          <w:noProof/>
        </w:rPr>
      </w:pPr>
      <w:r>
        <w:rPr>
          <w:szCs w:val="24"/>
        </w:rPr>
        <w:t>Im</w:t>
      </w:r>
      <w:r w:rsidR="00694032">
        <w:rPr>
          <w:szCs w:val="24"/>
        </w:rPr>
        <w:t xml:space="preserve"> September 2017 </w:t>
      </w:r>
      <w:r w:rsidR="008F415C">
        <w:rPr>
          <w:szCs w:val="24"/>
        </w:rPr>
        <w:t xml:space="preserve">wurde den Gremien </w:t>
      </w:r>
      <w:r w:rsidR="00694032">
        <w:rPr>
          <w:szCs w:val="24"/>
        </w:rPr>
        <w:t xml:space="preserve">der </w:t>
      </w:r>
      <w:r w:rsidR="008F415C">
        <w:rPr>
          <w:szCs w:val="24"/>
        </w:rPr>
        <w:t xml:space="preserve">Masterplan </w:t>
      </w:r>
      <w:r w:rsidR="00694032">
        <w:rPr>
          <w:szCs w:val="24"/>
        </w:rPr>
        <w:t>„Erlebnisraum Neckar</w:t>
      </w:r>
      <w:r w:rsidR="008F415C">
        <w:rPr>
          <w:szCs w:val="24"/>
        </w:rPr>
        <w:t xml:space="preserve">“ vorgestellt, </w:t>
      </w:r>
      <w:r w:rsidR="00694032">
        <w:rPr>
          <w:noProof/>
        </w:rPr>
        <w:t xml:space="preserve">der auch eine zeitliche Perspektive für die Realisierung der </w:t>
      </w:r>
      <w:r w:rsidR="008F415C">
        <w:rPr>
          <w:noProof/>
        </w:rPr>
        <w:t xml:space="preserve">im Masterplan aufgezeigten Realisierungsprojekte </w:t>
      </w:r>
      <w:r w:rsidR="00694032">
        <w:rPr>
          <w:noProof/>
        </w:rPr>
        <w:t>aufzeigt. Bis zum Jahr 2035 sol</w:t>
      </w:r>
      <w:r w:rsidR="00DB0978">
        <w:rPr>
          <w:noProof/>
        </w:rPr>
        <w:t xml:space="preserve">len 15 Projekte realisiert sein. </w:t>
      </w:r>
      <w:r w:rsidR="00694032">
        <w:rPr>
          <w:noProof/>
        </w:rPr>
        <w:t xml:space="preserve"> </w:t>
      </w:r>
    </w:p>
    <w:p w:rsidR="00B031DB" w:rsidRDefault="008F415C" w:rsidP="008F415C">
      <w:pPr>
        <w:spacing w:after="120"/>
      </w:pPr>
      <w:r>
        <w:t xml:space="preserve">Die bisherige Planung der personellen und finanziellen Ressourcen einschließlich Prioritätensetzung setzt die bislang zum Erlebnisraum Neckar ergangenen Beschlüsse der politischen Gremien um. Darin </w:t>
      </w:r>
      <w:r w:rsidRPr="00B031DB">
        <w:t xml:space="preserve">nicht berücksichtigt sind die </w:t>
      </w:r>
      <w:r w:rsidR="008875AB" w:rsidRPr="00B031DB">
        <w:t xml:space="preserve">zusätzlichen </w:t>
      </w:r>
      <w:r w:rsidRPr="00B031DB">
        <w:t>Planungen zur Vernetzung Untertürkheim in Zusammenhang mit der IBA.</w:t>
      </w:r>
      <w:r>
        <w:t xml:space="preserve"> </w:t>
      </w:r>
    </w:p>
    <w:p w:rsidR="00694032" w:rsidRDefault="008F415C" w:rsidP="008F415C">
      <w:pPr>
        <w:spacing w:after="120"/>
        <w:rPr>
          <w:szCs w:val="24"/>
        </w:rPr>
      </w:pPr>
      <w:r>
        <w:rPr>
          <w:szCs w:val="24"/>
        </w:rPr>
        <w:t xml:space="preserve">Zu berücksichtigen ist </w:t>
      </w:r>
      <w:r w:rsidR="008875AB">
        <w:rPr>
          <w:szCs w:val="24"/>
        </w:rPr>
        <w:t xml:space="preserve">auch </w:t>
      </w:r>
      <w:r>
        <w:rPr>
          <w:szCs w:val="24"/>
        </w:rPr>
        <w:t>der immen</w:t>
      </w:r>
      <w:r w:rsidR="0004675F">
        <w:rPr>
          <w:szCs w:val="24"/>
        </w:rPr>
        <w:t xml:space="preserve">s hohe Abstimmungsaufwand, </w:t>
      </w:r>
      <w:r w:rsidR="0012595C" w:rsidRPr="00CA61AE">
        <w:rPr>
          <w:szCs w:val="24"/>
        </w:rPr>
        <w:t xml:space="preserve">der </w:t>
      </w:r>
      <w:r>
        <w:rPr>
          <w:szCs w:val="24"/>
        </w:rPr>
        <w:t>mit allen IBA-Projekten verbunden ist.</w:t>
      </w:r>
    </w:p>
    <w:p w:rsidR="003D7B0B" w:rsidRPr="00165C0D" w:rsidRDefault="003D7B0B" w:rsidP="00626DBA">
      <w:pPr>
        <w:pStyle w:val="berschrift2"/>
        <w:spacing w:after="120"/>
      </w:pPr>
      <w:r w:rsidRPr="00165C0D">
        <w:t>3.2</w:t>
      </w:r>
      <w:r w:rsidRPr="00165C0D">
        <w:tab/>
        <w:t>Bisherige Aufgabenwahrnehmung</w:t>
      </w:r>
    </w:p>
    <w:p w:rsidR="00E72DD0" w:rsidRDefault="008F415C" w:rsidP="00CB6F3C">
      <w:r>
        <w:t xml:space="preserve">Es handelt sich um zusätzliche planerische Aufgaben, die in der bisherigen Planung der personellen und finanziellen Ressourcen nicht berücksichtigt sind. </w:t>
      </w:r>
    </w:p>
    <w:p w:rsidR="003D7B0B" w:rsidRDefault="006E0575" w:rsidP="00626DBA">
      <w:pPr>
        <w:pStyle w:val="berschrift2"/>
        <w:spacing w:after="120"/>
      </w:pPr>
      <w:r>
        <w:lastRenderedPageBreak/>
        <w:t>3.3</w:t>
      </w:r>
      <w:r w:rsidR="003D7B0B">
        <w:tab/>
        <w:t>Auswirkungen bei Ablehnung der Stellenschaffungen</w:t>
      </w:r>
    </w:p>
    <w:p w:rsidR="00E72DD0" w:rsidRDefault="00E72DD0" w:rsidP="00CB6F3C">
      <w:r>
        <w:t xml:space="preserve">Ohne Stellenschaffung </w:t>
      </w:r>
      <w:r w:rsidR="008875AB">
        <w:t>kann für das IBA-Vernetzungsprojekt Untertürkheim keine den Neckar, seine Ufer und die Freiräume entlang des Kraftwerkskanals betreffende Planung durchgeführt werden.</w:t>
      </w:r>
    </w:p>
    <w:p w:rsidR="008875AB" w:rsidRDefault="008875AB" w:rsidP="00CB6F3C"/>
    <w:p w:rsidR="00626DBA" w:rsidRDefault="00626DBA" w:rsidP="002374AF"/>
    <w:p w:rsidR="003D7B0B" w:rsidRPr="002374AF" w:rsidRDefault="002374AF" w:rsidP="002374AF">
      <w:pPr>
        <w:rPr>
          <w:b/>
          <w:u w:val="single"/>
        </w:rPr>
      </w:pPr>
      <w:r>
        <w:rPr>
          <w:b/>
          <w:u w:val="single"/>
        </w:rPr>
        <w:t xml:space="preserve">4 </w:t>
      </w:r>
      <w:r w:rsidR="003D7B0B" w:rsidRPr="002374AF">
        <w:rPr>
          <w:b/>
          <w:u w:val="single"/>
        </w:rPr>
        <w:t>Stellenvermerke</w:t>
      </w:r>
    </w:p>
    <w:p w:rsidR="00B031DB" w:rsidRDefault="00B031DB" w:rsidP="00884D6C">
      <w:r>
        <w:t>-</w:t>
      </w:r>
    </w:p>
    <w:sectPr w:rsidR="00B031D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6B" w:rsidRDefault="00A8746B">
      <w:r>
        <w:separator/>
      </w:r>
    </w:p>
  </w:endnote>
  <w:endnote w:type="continuationSeparator" w:id="0">
    <w:p w:rsidR="00A8746B" w:rsidRDefault="00A8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6B" w:rsidRDefault="00A8746B">
      <w:r>
        <w:separator/>
      </w:r>
    </w:p>
  </w:footnote>
  <w:footnote w:type="continuationSeparator" w:id="0">
    <w:p w:rsidR="00A8746B" w:rsidRDefault="00A8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22" w:rsidRDefault="00C1652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2523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16522" w:rsidRDefault="00C16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D6FE9"/>
    <w:multiLevelType w:val="hybridMultilevel"/>
    <w:tmpl w:val="2F66E1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34B7"/>
    <w:rsid w:val="00034263"/>
    <w:rsid w:val="0004675F"/>
    <w:rsid w:val="0007225B"/>
    <w:rsid w:val="0007252B"/>
    <w:rsid w:val="000974F9"/>
    <w:rsid w:val="000A0348"/>
    <w:rsid w:val="000A1146"/>
    <w:rsid w:val="000C7242"/>
    <w:rsid w:val="000D736A"/>
    <w:rsid w:val="00105315"/>
    <w:rsid w:val="00112E13"/>
    <w:rsid w:val="0012595C"/>
    <w:rsid w:val="001367CA"/>
    <w:rsid w:val="0014415D"/>
    <w:rsid w:val="0014679C"/>
    <w:rsid w:val="00165C0D"/>
    <w:rsid w:val="00181857"/>
    <w:rsid w:val="00194770"/>
    <w:rsid w:val="001A5F9B"/>
    <w:rsid w:val="001F7237"/>
    <w:rsid w:val="0022096B"/>
    <w:rsid w:val="002374AF"/>
    <w:rsid w:val="00246635"/>
    <w:rsid w:val="00260FB1"/>
    <w:rsid w:val="002640F0"/>
    <w:rsid w:val="002924CB"/>
    <w:rsid w:val="002B2A88"/>
    <w:rsid w:val="002B4ACB"/>
    <w:rsid w:val="002E123C"/>
    <w:rsid w:val="00331E0C"/>
    <w:rsid w:val="00396B80"/>
    <w:rsid w:val="003C3BA9"/>
    <w:rsid w:val="003C7223"/>
    <w:rsid w:val="003D7B0B"/>
    <w:rsid w:val="004019F4"/>
    <w:rsid w:val="00470135"/>
    <w:rsid w:val="004908B5"/>
    <w:rsid w:val="0049121B"/>
    <w:rsid w:val="004A1688"/>
    <w:rsid w:val="004A5127"/>
    <w:rsid w:val="004B3D86"/>
    <w:rsid w:val="004B6796"/>
    <w:rsid w:val="004C3121"/>
    <w:rsid w:val="004D0B2F"/>
    <w:rsid w:val="004E7F48"/>
    <w:rsid w:val="004F34A2"/>
    <w:rsid w:val="005173D2"/>
    <w:rsid w:val="00521055"/>
    <w:rsid w:val="005671E4"/>
    <w:rsid w:val="005849BB"/>
    <w:rsid w:val="00591767"/>
    <w:rsid w:val="00595413"/>
    <w:rsid w:val="005A56AA"/>
    <w:rsid w:val="005D34EA"/>
    <w:rsid w:val="005E19C6"/>
    <w:rsid w:val="005E2757"/>
    <w:rsid w:val="005E7630"/>
    <w:rsid w:val="00612406"/>
    <w:rsid w:val="00626DBA"/>
    <w:rsid w:val="00644732"/>
    <w:rsid w:val="00681692"/>
    <w:rsid w:val="00694032"/>
    <w:rsid w:val="006A650E"/>
    <w:rsid w:val="006B6D50"/>
    <w:rsid w:val="006C6060"/>
    <w:rsid w:val="006E0552"/>
    <w:rsid w:val="006E0575"/>
    <w:rsid w:val="00715DFD"/>
    <w:rsid w:val="00725239"/>
    <w:rsid w:val="007457E1"/>
    <w:rsid w:val="00767B75"/>
    <w:rsid w:val="007A24A6"/>
    <w:rsid w:val="007D093E"/>
    <w:rsid w:val="007D19BF"/>
    <w:rsid w:val="007D47F5"/>
    <w:rsid w:val="00834050"/>
    <w:rsid w:val="00840F94"/>
    <w:rsid w:val="00863EEF"/>
    <w:rsid w:val="0086795C"/>
    <w:rsid w:val="00884D6C"/>
    <w:rsid w:val="008875AB"/>
    <w:rsid w:val="008F415C"/>
    <w:rsid w:val="00985D60"/>
    <w:rsid w:val="009B3759"/>
    <w:rsid w:val="009D11CA"/>
    <w:rsid w:val="00A30B03"/>
    <w:rsid w:val="00A4234F"/>
    <w:rsid w:val="00A559E6"/>
    <w:rsid w:val="00A71D0A"/>
    <w:rsid w:val="00A774F1"/>
    <w:rsid w:val="00A77F1E"/>
    <w:rsid w:val="00A8746B"/>
    <w:rsid w:val="00AA4A41"/>
    <w:rsid w:val="00AA7098"/>
    <w:rsid w:val="00AD52C0"/>
    <w:rsid w:val="00B02713"/>
    <w:rsid w:val="00B031DB"/>
    <w:rsid w:val="00B04290"/>
    <w:rsid w:val="00B2065C"/>
    <w:rsid w:val="00B228BB"/>
    <w:rsid w:val="00B373B4"/>
    <w:rsid w:val="00B80DEF"/>
    <w:rsid w:val="00B95776"/>
    <w:rsid w:val="00BB465E"/>
    <w:rsid w:val="00BC4669"/>
    <w:rsid w:val="00C16522"/>
    <w:rsid w:val="00C16EF1"/>
    <w:rsid w:val="00C2357F"/>
    <w:rsid w:val="00C35455"/>
    <w:rsid w:val="00C448D3"/>
    <w:rsid w:val="00C85A56"/>
    <w:rsid w:val="00CA61AE"/>
    <w:rsid w:val="00CB6F3C"/>
    <w:rsid w:val="00CC63B3"/>
    <w:rsid w:val="00D02C3A"/>
    <w:rsid w:val="00D15787"/>
    <w:rsid w:val="00D5300B"/>
    <w:rsid w:val="00D65B82"/>
    <w:rsid w:val="00D8051B"/>
    <w:rsid w:val="00D873D5"/>
    <w:rsid w:val="00DB0978"/>
    <w:rsid w:val="00DB3D6C"/>
    <w:rsid w:val="00E014B6"/>
    <w:rsid w:val="00E1162F"/>
    <w:rsid w:val="00E11D5F"/>
    <w:rsid w:val="00E72DD0"/>
    <w:rsid w:val="00EB4A97"/>
    <w:rsid w:val="00EE1BEE"/>
    <w:rsid w:val="00EF0583"/>
    <w:rsid w:val="00F27657"/>
    <w:rsid w:val="00F342DC"/>
    <w:rsid w:val="00F63041"/>
    <w:rsid w:val="00F93131"/>
    <w:rsid w:val="00FC7E7A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A1B3A"/>
  <w15:chartTrackingRefBased/>
  <w15:docId w15:val="{F1E69924-75AE-4D23-B755-AA2A724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B957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95776"/>
    <w:rPr>
      <w:rFonts w:ascii="Segoe UI" w:hAnsi="Segoe UI" w:cs="Segoe UI"/>
      <w:sz w:val="18"/>
      <w:szCs w:val="18"/>
    </w:rPr>
  </w:style>
  <w:style w:type="character" w:styleId="Seitenzahl">
    <w:name w:val="page number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 Stuttgart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2010/2011</dc:subject>
  <dc:creator>10-3</dc:creator>
  <cp:keywords/>
  <cp:lastModifiedBy>Baumann, Gerhard</cp:lastModifiedBy>
  <cp:revision>4</cp:revision>
  <cp:lastPrinted>2021-09-30T08:46:00Z</cp:lastPrinted>
  <dcterms:created xsi:type="dcterms:W3CDTF">2021-09-21T07:58:00Z</dcterms:created>
  <dcterms:modified xsi:type="dcterms:W3CDTF">2021-09-30T08:46:00Z</dcterms:modified>
</cp:coreProperties>
</file>