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0B" w:rsidRPr="006E0575" w:rsidRDefault="00062E91" w:rsidP="00062E91">
      <w:pPr>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003D7B0B" w:rsidRPr="006E0575">
        <w:rPr>
          <w:szCs w:val="24"/>
        </w:rPr>
        <w:t xml:space="preserve">Anlage </w:t>
      </w:r>
      <w:r w:rsidR="00031A31">
        <w:rPr>
          <w:szCs w:val="24"/>
        </w:rPr>
        <w:t>4</w:t>
      </w:r>
      <w:r w:rsidR="003E4058">
        <w:rPr>
          <w:szCs w:val="24"/>
        </w:rPr>
        <w:t>5</w:t>
      </w:r>
      <w:r w:rsidR="003D7B0B" w:rsidRPr="006E0575">
        <w:rPr>
          <w:szCs w:val="24"/>
        </w:rPr>
        <w:t xml:space="preserve"> zur </w:t>
      </w:r>
      <w:proofErr w:type="spellStart"/>
      <w:r w:rsidR="003D7B0B" w:rsidRPr="006E0575">
        <w:rPr>
          <w:szCs w:val="24"/>
        </w:rPr>
        <w:t>GRDrs</w:t>
      </w:r>
      <w:proofErr w:type="spellEnd"/>
      <w:r w:rsidR="003D7B0B" w:rsidRPr="006E0575">
        <w:rPr>
          <w:szCs w:val="24"/>
        </w:rPr>
        <w:t xml:space="preserve"> </w:t>
      </w:r>
      <w:r w:rsidR="006E1F03">
        <w:rPr>
          <w:szCs w:val="24"/>
        </w:rPr>
        <w:t>799</w:t>
      </w:r>
      <w:r w:rsidR="00891246">
        <w:rPr>
          <w:szCs w:val="24"/>
        </w:rPr>
        <w:t>/201</w:t>
      </w:r>
      <w:r w:rsidR="003A7A41">
        <w:rPr>
          <w:szCs w:val="24"/>
        </w:rPr>
        <w:t>5</w:t>
      </w:r>
    </w:p>
    <w:p w:rsidR="003D7B0B" w:rsidRPr="006E0575" w:rsidRDefault="003D7B0B" w:rsidP="006E0575"/>
    <w:p w:rsidR="003D7B0B" w:rsidRPr="00796600" w:rsidRDefault="00FF2DC9" w:rsidP="00D15184">
      <w:pPr>
        <w:pStyle w:val="berschrift1"/>
        <w:tabs>
          <w:tab w:val="clear" w:pos="6521"/>
        </w:tabs>
      </w:pPr>
      <w:r w:rsidRPr="00796600">
        <w:t>We</w:t>
      </w:r>
      <w:r w:rsidRPr="00CE7D5B">
        <w:rPr>
          <w:u w:val="none"/>
        </w:rPr>
        <w:t>g</w:t>
      </w:r>
      <w:r w:rsidRPr="00796600">
        <w:t xml:space="preserve">fall </w:t>
      </w:r>
      <w:r w:rsidR="007B5FE2" w:rsidRPr="00796600">
        <w:t>eines</w:t>
      </w:r>
      <w:r w:rsidRPr="00796600">
        <w:t xml:space="preserve"> </w:t>
      </w:r>
      <w:r w:rsidR="00A34898" w:rsidRPr="00796600">
        <w:t>Stellen</w:t>
      </w:r>
      <w:r w:rsidRPr="00796600">
        <w:t>vermerk</w:t>
      </w:r>
      <w:r w:rsidR="007B5FE2" w:rsidRPr="00796600">
        <w:t>s</w:t>
      </w:r>
      <w:r w:rsidR="003D7B0B" w:rsidRPr="00796600">
        <w:t xml:space="preserve"> </w:t>
      </w:r>
      <w:r w:rsidR="00A34898" w:rsidRPr="00796600">
        <w:br/>
      </w:r>
      <w:r w:rsidR="007B5FE2" w:rsidRPr="003A7A41">
        <w:t>zum</w:t>
      </w:r>
      <w:r w:rsidR="003D7B0B" w:rsidRPr="003A7A41">
        <w:t xml:space="preserve"> Stellenplan 20</w:t>
      </w:r>
      <w:r w:rsidR="00DC6025">
        <w:t>16</w:t>
      </w:r>
    </w:p>
    <w:p w:rsidR="003D7B0B" w:rsidRDefault="003D7B0B" w:rsidP="006E0575"/>
    <w:p w:rsidR="003D7B0B"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891246" w:rsidRPr="006E0575" w:rsidTr="00701699">
        <w:trPr>
          <w:cantSplit/>
          <w:tblHeader/>
        </w:trPr>
        <w:tc>
          <w:tcPr>
            <w:tcW w:w="1814" w:type="dxa"/>
            <w:shd w:val="pct12" w:color="auto" w:fill="FFFFFF"/>
          </w:tcPr>
          <w:p w:rsidR="00CE7D5B" w:rsidRDefault="00891246" w:rsidP="00796600">
            <w:pPr>
              <w:spacing w:before="120" w:after="120" w:line="200" w:lineRule="exact"/>
              <w:ind w:left="-85" w:right="-85"/>
              <w:jc w:val="center"/>
              <w:rPr>
                <w:sz w:val="16"/>
                <w:szCs w:val="16"/>
              </w:rPr>
            </w:pPr>
            <w:r w:rsidRPr="006E0575">
              <w:rPr>
                <w:sz w:val="16"/>
                <w:szCs w:val="16"/>
              </w:rPr>
              <w:t>Org.</w:t>
            </w:r>
            <w:r>
              <w:rPr>
                <w:sz w:val="16"/>
                <w:szCs w:val="16"/>
              </w:rPr>
              <w:t>-E</w:t>
            </w:r>
            <w:r w:rsidRPr="006E0575">
              <w:rPr>
                <w:sz w:val="16"/>
                <w:szCs w:val="16"/>
              </w:rPr>
              <w:t>inheit</w:t>
            </w:r>
            <w:r w:rsidRPr="006E0575">
              <w:rPr>
                <w:sz w:val="16"/>
                <w:szCs w:val="16"/>
              </w:rPr>
              <w:br/>
              <w:t>(aut. Stpl.)</w:t>
            </w:r>
            <w:r w:rsidR="002C2BCF">
              <w:rPr>
                <w:sz w:val="16"/>
                <w:szCs w:val="16"/>
              </w:rPr>
              <w:t>,</w:t>
            </w:r>
          </w:p>
          <w:p w:rsidR="00891246" w:rsidRPr="006E0575" w:rsidRDefault="009B0FBE" w:rsidP="00796600">
            <w:pPr>
              <w:spacing w:before="120" w:after="120" w:line="200" w:lineRule="exact"/>
              <w:ind w:left="-85" w:right="-85"/>
              <w:jc w:val="center"/>
              <w:rPr>
                <w:sz w:val="16"/>
                <w:szCs w:val="16"/>
              </w:rPr>
            </w:pPr>
            <w:r>
              <w:rPr>
                <w:sz w:val="16"/>
                <w:szCs w:val="16"/>
              </w:rPr>
              <w:t>Kostenstelle</w:t>
            </w:r>
          </w:p>
        </w:tc>
        <w:tc>
          <w:tcPr>
            <w:tcW w:w="1701" w:type="dxa"/>
            <w:shd w:val="pct12" w:color="auto" w:fill="FFFFFF"/>
          </w:tcPr>
          <w:p w:rsidR="00891246" w:rsidRPr="006E0575" w:rsidRDefault="00891246" w:rsidP="00796600">
            <w:pPr>
              <w:spacing w:before="120" w:after="120" w:line="200" w:lineRule="exact"/>
              <w:ind w:left="-85" w:right="-85"/>
              <w:jc w:val="center"/>
              <w:rPr>
                <w:sz w:val="16"/>
                <w:szCs w:val="16"/>
              </w:rPr>
            </w:pPr>
            <w:r w:rsidRPr="006E0575">
              <w:rPr>
                <w:sz w:val="16"/>
                <w:szCs w:val="16"/>
              </w:rPr>
              <w:t>Amt</w:t>
            </w:r>
          </w:p>
        </w:tc>
        <w:tc>
          <w:tcPr>
            <w:tcW w:w="794" w:type="dxa"/>
            <w:shd w:val="pct12" w:color="auto" w:fill="FFFFFF"/>
          </w:tcPr>
          <w:p w:rsidR="00CE7D5B" w:rsidRDefault="007B5FE2" w:rsidP="00796600">
            <w:pPr>
              <w:spacing w:before="120" w:after="120" w:line="200" w:lineRule="exact"/>
              <w:ind w:left="-85" w:right="-85"/>
              <w:jc w:val="center"/>
              <w:rPr>
                <w:sz w:val="16"/>
                <w:szCs w:val="16"/>
              </w:rPr>
            </w:pPr>
            <w:r>
              <w:rPr>
                <w:sz w:val="16"/>
                <w:szCs w:val="16"/>
              </w:rPr>
              <w:t>BesGr.</w:t>
            </w:r>
          </w:p>
          <w:p w:rsidR="00CE7D5B" w:rsidRDefault="007B5FE2" w:rsidP="00796600">
            <w:pPr>
              <w:spacing w:before="120" w:after="120" w:line="200" w:lineRule="exact"/>
              <w:ind w:left="-85" w:right="-85"/>
              <w:jc w:val="center"/>
              <w:rPr>
                <w:sz w:val="16"/>
                <w:szCs w:val="16"/>
              </w:rPr>
            </w:pPr>
            <w:r>
              <w:rPr>
                <w:sz w:val="16"/>
                <w:szCs w:val="16"/>
              </w:rPr>
              <w:t>oder</w:t>
            </w:r>
          </w:p>
          <w:p w:rsidR="007B5FE2" w:rsidRPr="006E0575" w:rsidRDefault="007B5FE2" w:rsidP="00796600">
            <w:pPr>
              <w:spacing w:before="120" w:after="120" w:line="200" w:lineRule="exact"/>
              <w:ind w:left="-85" w:right="-85"/>
              <w:jc w:val="center"/>
              <w:rPr>
                <w:sz w:val="16"/>
                <w:szCs w:val="16"/>
              </w:rPr>
            </w:pPr>
            <w:r>
              <w:rPr>
                <w:sz w:val="16"/>
                <w:szCs w:val="16"/>
              </w:rPr>
              <w:t>EG</w:t>
            </w:r>
          </w:p>
        </w:tc>
        <w:tc>
          <w:tcPr>
            <w:tcW w:w="1928" w:type="dxa"/>
            <w:shd w:val="pct12" w:color="auto" w:fill="FFFFFF"/>
          </w:tcPr>
          <w:p w:rsidR="00891246" w:rsidRPr="006E0575" w:rsidRDefault="00891246" w:rsidP="00796600">
            <w:pPr>
              <w:spacing w:before="120" w:after="120" w:line="200" w:lineRule="exact"/>
              <w:ind w:left="-85" w:right="-85"/>
              <w:jc w:val="center"/>
              <w:rPr>
                <w:sz w:val="16"/>
                <w:szCs w:val="16"/>
              </w:rPr>
            </w:pPr>
            <w:r w:rsidRPr="006E0575">
              <w:rPr>
                <w:sz w:val="16"/>
                <w:szCs w:val="16"/>
              </w:rPr>
              <w:t>Funktions</w:t>
            </w:r>
            <w:r w:rsidR="00796600">
              <w:rPr>
                <w:sz w:val="16"/>
                <w:szCs w:val="16"/>
              </w:rPr>
              <w:t>-</w:t>
            </w:r>
            <w:r w:rsidR="00796600">
              <w:rPr>
                <w:sz w:val="16"/>
                <w:szCs w:val="16"/>
              </w:rPr>
              <w:br/>
            </w:r>
            <w:r w:rsidRPr="006E0575">
              <w:rPr>
                <w:sz w:val="16"/>
                <w:szCs w:val="16"/>
              </w:rPr>
              <w:t>bezeichnung</w:t>
            </w:r>
          </w:p>
        </w:tc>
        <w:tc>
          <w:tcPr>
            <w:tcW w:w="737" w:type="dxa"/>
            <w:shd w:val="pct12" w:color="auto" w:fill="FFFFFF"/>
          </w:tcPr>
          <w:p w:rsidR="00891246" w:rsidRPr="006E0575" w:rsidRDefault="00891246" w:rsidP="00796600">
            <w:pPr>
              <w:spacing w:before="120" w:after="120" w:line="200" w:lineRule="exact"/>
              <w:ind w:left="-85" w:right="-85"/>
              <w:jc w:val="center"/>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891246" w:rsidRPr="006E0575" w:rsidRDefault="00891246" w:rsidP="00796600">
            <w:pPr>
              <w:spacing w:before="120" w:after="120" w:line="200" w:lineRule="exact"/>
              <w:ind w:left="-85" w:right="-85"/>
              <w:jc w:val="center"/>
              <w:rPr>
                <w:sz w:val="16"/>
                <w:szCs w:val="16"/>
              </w:rPr>
            </w:pPr>
            <w:r>
              <w:rPr>
                <w:sz w:val="16"/>
                <w:szCs w:val="16"/>
              </w:rPr>
              <w:t>bisheriger</w:t>
            </w:r>
            <w:r>
              <w:rPr>
                <w:sz w:val="16"/>
                <w:szCs w:val="16"/>
              </w:rPr>
              <w:br/>
            </w:r>
            <w:r w:rsidRPr="006E0575">
              <w:rPr>
                <w:sz w:val="16"/>
                <w:szCs w:val="16"/>
              </w:rPr>
              <w:t>Stellen-</w:t>
            </w:r>
            <w:r w:rsidRPr="006E0575">
              <w:rPr>
                <w:sz w:val="16"/>
                <w:szCs w:val="16"/>
              </w:rPr>
              <w:br/>
              <w:t>vermerk</w:t>
            </w:r>
          </w:p>
        </w:tc>
        <w:tc>
          <w:tcPr>
            <w:tcW w:w="1417" w:type="dxa"/>
            <w:shd w:val="pct12" w:color="auto" w:fill="FFFFFF"/>
          </w:tcPr>
          <w:p w:rsidR="00891246" w:rsidRPr="006E0575" w:rsidRDefault="00891246" w:rsidP="00796600">
            <w:pPr>
              <w:spacing w:before="120" w:after="120" w:line="200" w:lineRule="exact"/>
              <w:ind w:left="-85" w:right="-85"/>
              <w:jc w:val="center"/>
              <w:rPr>
                <w:sz w:val="16"/>
                <w:szCs w:val="16"/>
              </w:rPr>
            </w:pPr>
            <w:proofErr w:type="spellStart"/>
            <w:r>
              <w:rPr>
                <w:sz w:val="16"/>
                <w:szCs w:val="16"/>
              </w:rPr>
              <w:t>d</w:t>
            </w:r>
            <w:r w:rsidRPr="006E0575">
              <w:rPr>
                <w:sz w:val="16"/>
                <w:szCs w:val="16"/>
              </w:rPr>
              <w:t>urchschnit</w:t>
            </w:r>
            <w:r>
              <w:rPr>
                <w:sz w:val="16"/>
                <w:szCs w:val="16"/>
              </w:rPr>
              <w:t>tl</w:t>
            </w:r>
            <w:proofErr w:type="spellEnd"/>
            <w:r>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Pr>
                <w:sz w:val="16"/>
                <w:szCs w:val="16"/>
              </w:rPr>
              <w:br/>
            </w:r>
            <w:r w:rsidRPr="006E0575">
              <w:rPr>
                <w:sz w:val="16"/>
                <w:szCs w:val="16"/>
              </w:rPr>
              <w:t>Auf</w:t>
            </w:r>
            <w:r>
              <w:rPr>
                <w:sz w:val="16"/>
                <w:szCs w:val="16"/>
              </w:rPr>
              <w:t>wand</w:t>
            </w:r>
            <w:r>
              <w:rPr>
                <w:sz w:val="16"/>
                <w:szCs w:val="16"/>
              </w:rPr>
              <w:br/>
              <w:t>Euro</w:t>
            </w:r>
          </w:p>
        </w:tc>
      </w:tr>
      <w:tr w:rsidR="00891246" w:rsidRPr="006E0575" w:rsidTr="00891246">
        <w:tc>
          <w:tcPr>
            <w:tcW w:w="1814" w:type="dxa"/>
          </w:tcPr>
          <w:p w:rsidR="00891246" w:rsidRDefault="00891246" w:rsidP="002812E4">
            <w:pPr>
              <w:rPr>
                <w:sz w:val="20"/>
              </w:rPr>
            </w:pPr>
          </w:p>
          <w:p w:rsidR="00746A71" w:rsidRDefault="006C1E53" w:rsidP="00746A71">
            <w:pPr>
              <w:rPr>
                <w:sz w:val="20"/>
              </w:rPr>
            </w:pPr>
            <w:r>
              <w:rPr>
                <w:sz w:val="20"/>
              </w:rPr>
              <w:t>530 0302</w:t>
            </w:r>
            <w:r w:rsidR="000B0945">
              <w:rPr>
                <w:sz w:val="20"/>
              </w:rPr>
              <w:t xml:space="preserve"> 175</w:t>
            </w:r>
          </w:p>
          <w:p w:rsidR="00891246" w:rsidRDefault="00891246" w:rsidP="002812E4">
            <w:pPr>
              <w:rPr>
                <w:sz w:val="20"/>
              </w:rPr>
            </w:pPr>
          </w:p>
          <w:p w:rsidR="00054C0E" w:rsidRPr="006E0575" w:rsidRDefault="00054C0E" w:rsidP="002812E4">
            <w:pPr>
              <w:rPr>
                <w:sz w:val="20"/>
              </w:rPr>
            </w:pPr>
            <w:r>
              <w:rPr>
                <w:sz w:val="20"/>
              </w:rPr>
              <w:t>53326000</w:t>
            </w:r>
          </w:p>
        </w:tc>
        <w:tc>
          <w:tcPr>
            <w:tcW w:w="1701" w:type="dxa"/>
          </w:tcPr>
          <w:p w:rsidR="00891246" w:rsidRDefault="00891246" w:rsidP="002812E4">
            <w:pPr>
              <w:rPr>
                <w:sz w:val="20"/>
              </w:rPr>
            </w:pPr>
          </w:p>
          <w:p w:rsidR="00891246" w:rsidRPr="006E0575" w:rsidRDefault="006C1E53" w:rsidP="002812E4">
            <w:pPr>
              <w:rPr>
                <w:sz w:val="20"/>
              </w:rPr>
            </w:pPr>
            <w:r>
              <w:rPr>
                <w:sz w:val="20"/>
              </w:rPr>
              <w:t>Gesundheitsamt</w:t>
            </w:r>
          </w:p>
        </w:tc>
        <w:tc>
          <w:tcPr>
            <w:tcW w:w="794" w:type="dxa"/>
          </w:tcPr>
          <w:p w:rsidR="00891246" w:rsidRDefault="00891246" w:rsidP="00F27BB8">
            <w:pPr>
              <w:jc w:val="center"/>
              <w:rPr>
                <w:sz w:val="20"/>
              </w:rPr>
            </w:pPr>
          </w:p>
          <w:p w:rsidR="006C1E53" w:rsidRDefault="006C1E53" w:rsidP="00F27BB8">
            <w:pPr>
              <w:jc w:val="center"/>
              <w:rPr>
                <w:sz w:val="20"/>
              </w:rPr>
            </w:pPr>
            <w:r>
              <w:rPr>
                <w:sz w:val="20"/>
              </w:rPr>
              <w:t>S 15</w:t>
            </w:r>
          </w:p>
          <w:p w:rsidR="00891246" w:rsidRPr="006E0575" w:rsidRDefault="00891246" w:rsidP="00F27BB8">
            <w:pPr>
              <w:jc w:val="center"/>
              <w:rPr>
                <w:sz w:val="20"/>
              </w:rPr>
            </w:pPr>
          </w:p>
        </w:tc>
        <w:tc>
          <w:tcPr>
            <w:tcW w:w="1928" w:type="dxa"/>
          </w:tcPr>
          <w:p w:rsidR="00891246" w:rsidRDefault="00891246" w:rsidP="002812E4">
            <w:pPr>
              <w:rPr>
                <w:sz w:val="20"/>
              </w:rPr>
            </w:pPr>
          </w:p>
          <w:p w:rsidR="00891246" w:rsidRPr="006E0575" w:rsidRDefault="006C1E53" w:rsidP="006C1E53">
            <w:pPr>
              <w:rPr>
                <w:sz w:val="20"/>
              </w:rPr>
            </w:pPr>
            <w:r>
              <w:rPr>
                <w:sz w:val="20"/>
              </w:rPr>
              <w:t>Sozialarbeiter/in</w:t>
            </w:r>
          </w:p>
        </w:tc>
        <w:tc>
          <w:tcPr>
            <w:tcW w:w="737" w:type="dxa"/>
            <w:shd w:val="pct12" w:color="auto" w:fill="FFFFFF"/>
          </w:tcPr>
          <w:p w:rsidR="00891246" w:rsidRDefault="00891246" w:rsidP="002812E4">
            <w:pPr>
              <w:jc w:val="center"/>
              <w:rPr>
                <w:sz w:val="20"/>
              </w:rPr>
            </w:pPr>
          </w:p>
          <w:p w:rsidR="00891246" w:rsidRPr="006E0575" w:rsidRDefault="00D929BA" w:rsidP="002812E4">
            <w:pPr>
              <w:jc w:val="center"/>
              <w:rPr>
                <w:sz w:val="20"/>
              </w:rPr>
            </w:pPr>
            <w:r>
              <w:rPr>
                <w:sz w:val="20"/>
              </w:rPr>
              <w:t>0,5</w:t>
            </w:r>
          </w:p>
        </w:tc>
        <w:tc>
          <w:tcPr>
            <w:tcW w:w="1134" w:type="dxa"/>
          </w:tcPr>
          <w:p w:rsidR="00891246" w:rsidRDefault="00891246" w:rsidP="00F27BB8">
            <w:pPr>
              <w:jc w:val="center"/>
              <w:rPr>
                <w:sz w:val="20"/>
              </w:rPr>
            </w:pPr>
          </w:p>
          <w:p w:rsidR="00891246" w:rsidRPr="006E0575" w:rsidRDefault="000B0945" w:rsidP="00F27BB8">
            <w:pPr>
              <w:jc w:val="center"/>
              <w:rPr>
                <w:sz w:val="20"/>
              </w:rPr>
            </w:pPr>
            <w:r>
              <w:rPr>
                <w:sz w:val="20"/>
              </w:rPr>
              <w:t>KW 01/2016</w:t>
            </w:r>
          </w:p>
        </w:tc>
        <w:tc>
          <w:tcPr>
            <w:tcW w:w="1417" w:type="dxa"/>
          </w:tcPr>
          <w:p w:rsidR="00891246" w:rsidRDefault="00891246" w:rsidP="00F27BB8">
            <w:pPr>
              <w:jc w:val="center"/>
              <w:rPr>
                <w:sz w:val="20"/>
              </w:rPr>
            </w:pPr>
          </w:p>
          <w:p w:rsidR="00891246" w:rsidRPr="006E0575" w:rsidRDefault="006E1F03" w:rsidP="00D578D3">
            <w:pPr>
              <w:jc w:val="center"/>
              <w:rPr>
                <w:sz w:val="20"/>
              </w:rPr>
            </w:pPr>
            <w:r>
              <w:rPr>
                <w:sz w:val="20"/>
              </w:rPr>
              <w:t>--</w:t>
            </w:r>
          </w:p>
        </w:tc>
      </w:tr>
    </w:tbl>
    <w:p w:rsidR="00694161" w:rsidRPr="00694161" w:rsidRDefault="00694161" w:rsidP="00694161"/>
    <w:p w:rsidR="00694161" w:rsidRPr="00694161" w:rsidRDefault="00694161" w:rsidP="00694161"/>
    <w:p w:rsidR="003D7B0B" w:rsidRPr="00796600" w:rsidRDefault="00694161" w:rsidP="00796600">
      <w:pPr>
        <w:pStyle w:val="berschrift2"/>
      </w:pPr>
      <w:r w:rsidRPr="00796600">
        <w:t>Be</w:t>
      </w:r>
      <w:r w:rsidRPr="00796600">
        <w:rPr>
          <w:u w:val="none"/>
        </w:rPr>
        <w:t>g</w:t>
      </w:r>
      <w:r w:rsidRPr="00796600">
        <w:t>ründun</w:t>
      </w:r>
      <w:r w:rsidRPr="00796600">
        <w:rPr>
          <w:u w:val="none"/>
        </w:rPr>
        <w:t>g</w:t>
      </w:r>
      <w:r w:rsidRPr="00796600">
        <w:t>:</w:t>
      </w:r>
    </w:p>
    <w:p w:rsidR="003D7B0B" w:rsidRDefault="003D7B0B" w:rsidP="00694161"/>
    <w:p w:rsidR="00D929BA" w:rsidRDefault="00D026BD" w:rsidP="00D026BD">
      <w:pPr>
        <w:jc w:val="both"/>
        <w:rPr>
          <w:b/>
        </w:rPr>
      </w:pPr>
      <w:r w:rsidRPr="00D026BD">
        <w:rPr>
          <w:b/>
        </w:rPr>
        <w:t>Vorgeschichte:</w:t>
      </w:r>
    </w:p>
    <w:p w:rsidR="00072AF6" w:rsidRDefault="00072AF6" w:rsidP="00D026BD">
      <w:pPr>
        <w:jc w:val="both"/>
        <w:rPr>
          <w:b/>
        </w:rPr>
      </w:pPr>
    </w:p>
    <w:p w:rsidR="00EC21B1" w:rsidRDefault="00EC21B1" w:rsidP="00EC21B1">
      <w:r>
        <w:t>In den Haushaltsplanberatungen 2011 wurde der Sozialdienst des Gesundheitsamtes mit der Beteiligung am Schulversuch zur Umsetzung der Empfehlungen des Experte</w:t>
      </w:r>
      <w:r>
        <w:t>n</w:t>
      </w:r>
      <w:r>
        <w:t>rats des Kultusministeriums zur schulischen Bildung von jungen Menschen mit Behind</w:t>
      </w:r>
      <w:r>
        <w:t>e</w:t>
      </w:r>
      <w:r>
        <w:t>rung beauftragt (</w:t>
      </w:r>
      <w:r w:rsidR="00072AF6">
        <w:t xml:space="preserve">vgl. </w:t>
      </w:r>
      <w:proofErr w:type="spellStart"/>
      <w:r>
        <w:t>GRDrs</w:t>
      </w:r>
      <w:proofErr w:type="spellEnd"/>
      <w:r>
        <w:t xml:space="preserve"> 215/</w:t>
      </w:r>
      <w:r w:rsidR="006E1F03">
        <w:t>20</w:t>
      </w:r>
      <w:r>
        <w:t>11</w:t>
      </w:r>
      <w:r w:rsidR="00072AF6">
        <w:t>). Zum Stellenplan 2012 wurde eine 0,5 Soziala</w:t>
      </w:r>
      <w:r w:rsidR="00072AF6">
        <w:t>r</w:t>
      </w:r>
      <w:r w:rsidR="00072AF6">
        <w:t>beiterstelle befristet geschaffen (</w:t>
      </w:r>
      <w:r w:rsidR="006E1F03">
        <w:t>KW</w:t>
      </w:r>
      <w:r w:rsidR="00072AF6">
        <w:t xml:space="preserve"> 01/2016).</w:t>
      </w:r>
    </w:p>
    <w:p w:rsidR="00EC21B1" w:rsidRDefault="00EC21B1" w:rsidP="00EC21B1"/>
    <w:p w:rsidR="00D026BD" w:rsidRPr="00D026BD" w:rsidRDefault="00D026BD" w:rsidP="00D026BD">
      <w:pPr>
        <w:jc w:val="both"/>
      </w:pPr>
    </w:p>
    <w:p w:rsidR="00D026BD" w:rsidRDefault="00D026BD" w:rsidP="00D929BA">
      <w:pPr>
        <w:jc w:val="both"/>
        <w:rPr>
          <w:b/>
        </w:rPr>
      </w:pPr>
      <w:r w:rsidRPr="00D026BD">
        <w:rPr>
          <w:b/>
        </w:rPr>
        <w:t>Bedarf und Aufgabenwahrnehmung:</w:t>
      </w:r>
    </w:p>
    <w:p w:rsidR="00072AF6" w:rsidRDefault="00072AF6" w:rsidP="00D929BA">
      <w:pPr>
        <w:jc w:val="both"/>
        <w:rPr>
          <w:b/>
        </w:rPr>
      </w:pPr>
    </w:p>
    <w:p w:rsidR="00072AF6" w:rsidRDefault="00077E3D" w:rsidP="00072AF6">
      <w:r>
        <w:t xml:space="preserve">Kern des neuen </w:t>
      </w:r>
      <w:r w:rsidR="00072AF6" w:rsidRPr="005077A7">
        <w:t>Schulgesetzes ist, dass Eltern ein Wahlrecht erhal</w:t>
      </w:r>
      <w:r>
        <w:t xml:space="preserve">ten, </w:t>
      </w:r>
      <w:r w:rsidR="00072AF6" w:rsidRPr="005077A7">
        <w:t>ob sie für ihr Kind ein inklusives Bildungsangebot an einer allgemeinen Schule oder ein Bildungsa</w:t>
      </w:r>
      <w:r w:rsidR="00072AF6" w:rsidRPr="005077A7">
        <w:t>n</w:t>
      </w:r>
      <w:r w:rsidR="00072AF6" w:rsidRPr="005077A7">
        <w:t xml:space="preserve">gebot an einer Sonderschule wünschen. </w:t>
      </w:r>
      <w:r w:rsidR="00072AF6">
        <w:t>Dies bedeutet, dass die Aufgabe auch weite</w:t>
      </w:r>
      <w:r w:rsidR="00072AF6">
        <w:t>r</w:t>
      </w:r>
      <w:r w:rsidR="00072AF6">
        <w:t xml:space="preserve">hin für den Sozialdienst bestehen bleibt. </w:t>
      </w:r>
    </w:p>
    <w:p w:rsidR="005F0D31" w:rsidRDefault="005F0D31" w:rsidP="005F0D31"/>
    <w:p w:rsidR="005F0D31" w:rsidRDefault="005F0D31" w:rsidP="005F0D31">
      <w:r>
        <w:t>Fallzahlen</w:t>
      </w:r>
      <w:r w:rsidR="0018739A">
        <w:t>:</w:t>
      </w:r>
    </w:p>
    <w:p w:rsidR="005F0D31" w:rsidRDefault="005F0D31" w:rsidP="005F0D31">
      <w:pPr>
        <w:pStyle w:val="Listen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2"/>
        <w:gridCol w:w="1857"/>
        <w:gridCol w:w="1857"/>
        <w:gridCol w:w="1857"/>
        <w:gridCol w:w="1938"/>
      </w:tblGrid>
      <w:tr w:rsidR="005F0D31" w:rsidRPr="00BF173A" w:rsidTr="008351E1">
        <w:trPr>
          <w:trHeight w:val="397"/>
        </w:trPr>
        <w:tc>
          <w:tcPr>
            <w:tcW w:w="2062" w:type="dxa"/>
            <w:vAlign w:val="center"/>
          </w:tcPr>
          <w:p w:rsidR="005F0D31" w:rsidRPr="00BF173A" w:rsidRDefault="005F0D31" w:rsidP="008351E1">
            <w:pPr>
              <w:rPr>
                <w:rFonts w:cs="Arial"/>
                <w:b/>
              </w:rPr>
            </w:pPr>
            <w:r>
              <w:rPr>
                <w:rFonts w:cs="Arial"/>
                <w:b/>
              </w:rPr>
              <w:t>Jahr</w:t>
            </w:r>
          </w:p>
        </w:tc>
        <w:tc>
          <w:tcPr>
            <w:tcW w:w="1857" w:type="dxa"/>
            <w:vAlign w:val="center"/>
          </w:tcPr>
          <w:p w:rsidR="005F0D31" w:rsidRPr="00BF173A" w:rsidRDefault="005F0D31" w:rsidP="008351E1">
            <w:pPr>
              <w:jc w:val="center"/>
              <w:rPr>
                <w:rFonts w:cs="Arial"/>
                <w:b/>
                <w:color w:val="000000"/>
              </w:rPr>
            </w:pPr>
            <w:r>
              <w:rPr>
                <w:rFonts w:cs="Arial"/>
                <w:b/>
                <w:color w:val="000000"/>
              </w:rPr>
              <w:t>2011</w:t>
            </w:r>
          </w:p>
        </w:tc>
        <w:tc>
          <w:tcPr>
            <w:tcW w:w="1857" w:type="dxa"/>
            <w:vAlign w:val="center"/>
          </w:tcPr>
          <w:p w:rsidR="005F0D31" w:rsidRPr="00BF173A" w:rsidRDefault="005F0D31" w:rsidP="008351E1">
            <w:pPr>
              <w:jc w:val="center"/>
              <w:rPr>
                <w:rFonts w:cs="Arial"/>
                <w:b/>
                <w:color w:val="000000"/>
              </w:rPr>
            </w:pPr>
            <w:r>
              <w:rPr>
                <w:rFonts w:cs="Arial"/>
                <w:b/>
                <w:color w:val="000000"/>
              </w:rPr>
              <w:t>2012</w:t>
            </w:r>
          </w:p>
        </w:tc>
        <w:tc>
          <w:tcPr>
            <w:tcW w:w="1857" w:type="dxa"/>
            <w:vAlign w:val="center"/>
          </w:tcPr>
          <w:p w:rsidR="005F0D31" w:rsidRPr="00BF173A" w:rsidRDefault="005F0D31" w:rsidP="008351E1">
            <w:pPr>
              <w:jc w:val="center"/>
              <w:rPr>
                <w:rFonts w:cs="Arial"/>
                <w:b/>
                <w:color w:val="000000"/>
              </w:rPr>
            </w:pPr>
            <w:r>
              <w:rPr>
                <w:rFonts w:cs="Arial"/>
                <w:b/>
                <w:color w:val="000000"/>
              </w:rPr>
              <w:t>2013</w:t>
            </w:r>
          </w:p>
        </w:tc>
        <w:tc>
          <w:tcPr>
            <w:tcW w:w="1938" w:type="dxa"/>
          </w:tcPr>
          <w:p w:rsidR="005F0D31" w:rsidRDefault="005F0D31" w:rsidP="008351E1">
            <w:pPr>
              <w:jc w:val="center"/>
              <w:rPr>
                <w:rFonts w:cs="Arial"/>
                <w:b/>
                <w:color w:val="000000"/>
              </w:rPr>
            </w:pPr>
            <w:r>
              <w:rPr>
                <w:rFonts w:cs="Arial"/>
                <w:b/>
                <w:color w:val="000000"/>
              </w:rPr>
              <w:t>2014</w:t>
            </w:r>
          </w:p>
        </w:tc>
      </w:tr>
      <w:tr w:rsidR="005F0D31" w:rsidRPr="003E778C" w:rsidTr="008351E1">
        <w:trPr>
          <w:trHeight w:val="397"/>
        </w:trPr>
        <w:tc>
          <w:tcPr>
            <w:tcW w:w="2062" w:type="dxa"/>
            <w:vAlign w:val="center"/>
          </w:tcPr>
          <w:p w:rsidR="005F0D31" w:rsidRPr="00BF173A" w:rsidRDefault="005F0D31" w:rsidP="008351E1">
            <w:pPr>
              <w:rPr>
                <w:rFonts w:cs="Arial"/>
                <w:b/>
              </w:rPr>
            </w:pPr>
            <w:r>
              <w:rPr>
                <w:rFonts w:cs="Arial"/>
                <w:b/>
              </w:rPr>
              <w:t>Fallzahlen</w:t>
            </w:r>
          </w:p>
        </w:tc>
        <w:tc>
          <w:tcPr>
            <w:tcW w:w="1857" w:type="dxa"/>
            <w:vAlign w:val="center"/>
          </w:tcPr>
          <w:p w:rsidR="005F0D31" w:rsidRPr="003E778C" w:rsidRDefault="005F0D31" w:rsidP="008351E1">
            <w:pPr>
              <w:jc w:val="center"/>
              <w:rPr>
                <w:rFonts w:cs="Arial"/>
              </w:rPr>
            </w:pPr>
            <w:r>
              <w:rPr>
                <w:rFonts w:cs="Arial"/>
              </w:rPr>
              <w:t>76</w:t>
            </w:r>
          </w:p>
        </w:tc>
        <w:tc>
          <w:tcPr>
            <w:tcW w:w="1857" w:type="dxa"/>
            <w:vAlign w:val="center"/>
          </w:tcPr>
          <w:p w:rsidR="005F0D31" w:rsidRPr="003E778C" w:rsidRDefault="005F0D31" w:rsidP="008351E1">
            <w:pPr>
              <w:jc w:val="center"/>
              <w:rPr>
                <w:rFonts w:cs="Arial"/>
              </w:rPr>
            </w:pPr>
            <w:r>
              <w:rPr>
                <w:rFonts w:cs="Arial"/>
              </w:rPr>
              <w:t>153</w:t>
            </w:r>
          </w:p>
        </w:tc>
        <w:tc>
          <w:tcPr>
            <w:tcW w:w="1857" w:type="dxa"/>
            <w:vAlign w:val="center"/>
          </w:tcPr>
          <w:p w:rsidR="005F0D31" w:rsidRPr="003E778C" w:rsidRDefault="005F0D31" w:rsidP="008351E1">
            <w:pPr>
              <w:jc w:val="center"/>
              <w:rPr>
                <w:rFonts w:cs="Arial"/>
              </w:rPr>
            </w:pPr>
            <w:r>
              <w:rPr>
                <w:rFonts w:cs="Arial"/>
              </w:rPr>
              <w:t>149</w:t>
            </w:r>
          </w:p>
        </w:tc>
        <w:tc>
          <w:tcPr>
            <w:tcW w:w="1938" w:type="dxa"/>
          </w:tcPr>
          <w:p w:rsidR="00963ADD" w:rsidRDefault="00963ADD" w:rsidP="008351E1">
            <w:pPr>
              <w:jc w:val="center"/>
              <w:rPr>
                <w:rFonts w:cs="Arial"/>
              </w:rPr>
            </w:pPr>
          </w:p>
          <w:p w:rsidR="005F0D31" w:rsidRDefault="005F0D31" w:rsidP="008351E1">
            <w:pPr>
              <w:jc w:val="center"/>
              <w:rPr>
                <w:rFonts w:cs="Arial"/>
              </w:rPr>
            </w:pPr>
            <w:r>
              <w:rPr>
                <w:rFonts w:cs="Arial"/>
              </w:rPr>
              <w:t>2</w:t>
            </w:r>
            <w:r w:rsidR="00963ADD">
              <w:rPr>
                <w:rFonts w:cs="Arial"/>
              </w:rPr>
              <w:t>11</w:t>
            </w:r>
          </w:p>
          <w:p w:rsidR="005F0D31" w:rsidRPr="003E778C" w:rsidRDefault="005F0D31" w:rsidP="008351E1">
            <w:pPr>
              <w:jc w:val="center"/>
              <w:rPr>
                <w:rFonts w:cs="Arial"/>
              </w:rPr>
            </w:pPr>
          </w:p>
        </w:tc>
      </w:tr>
    </w:tbl>
    <w:p w:rsidR="005F0D31" w:rsidRPr="004A3815" w:rsidRDefault="005F0D31" w:rsidP="005F0D31">
      <w:pPr>
        <w:rPr>
          <w:u w:val="single"/>
        </w:rPr>
      </w:pPr>
    </w:p>
    <w:p w:rsidR="00072AF6" w:rsidRDefault="00072AF6" w:rsidP="00D929BA">
      <w:pPr>
        <w:jc w:val="both"/>
        <w:rPr>
          <w:b/>
        </w:rPr>
      </w:pPr>
    </w:p>
    <w:p w:rsidR="00072AF6" w:rsidRDefault="00072AF6" w:rsidP="00072AF6">
      <w:pPr>
        <w:jc w:val="both"/>
        <w:rPr>
          <w:b/>
        </w:rPr>
      </w:pPr>
      <w:r>
        <w:t>Bisher wurde die</w:t>
      </w:r>
      <w:r w:rsidRPr="000C0986">
        <w:t xml:space="preserve"> neue Aufgabe </w:t>
      </w:r>
      <w:r w:rsidR="00455C91">
        <w:t xml:space="preserve">von </w:t>
      </w:r>
      <w:r w:rsidRPr="000C0986">
        <w:t xml:space="preserve">der </w:t>
      </w:r>
      <w:r w:rsidR="006E1F03">
        <w:t>zum</w:t>
      </w:r>
      <w:r w:rsidRPr="000C0986">
        <w:t xml:space="preserve"> </w:t>
      </w:r>
      <w:r w:rsidR="006E1F03">
        <w:t>Stellenplan</w:t>
      </w:r>
      <w:r w:rsidRPr="000C0986">
        <w:t xml:space="preserve"> </w:t>
      </w:r>
      <w:r>
        <w:t>20</w:t>
      </w:r>
      <w:r w:rsidRPr="000C0986">
        <w:t>12/13 geschaffenen befri</w:t>
      </w:r>
      <w:r w:rsidRPr="000C0986">
        <w:t>s</w:t>
      </w:r>
      <w:r w:rsidRPr="000C0986">
        <w:t>teten 0,5 Stelle wahrgenommen. Der Bedarf hat sich bestä</w:t>
      </w:r>
      <w:r>
        <w:t xml:space="preserve">tigt, so dass eine dauerhafte Entfristung der Stelle beantragt wird. </w:t>
      </w:r>
    </w:p>
    <w:p w:rsidR="005F0D31" w:rsidRDefault="005F0D31" w:rsidP="00D929BA">
      <w:pPr>
        <w:jc w:val="both"/>
        <w:rPr>
          <w:b/>
        </w:rPr>
      </w:pPr>
    </w:p>
    <w:p w:rsidR="00D90195" w:rsidRDefault="00D90195" w:rsidP="00D929BA">
      <w:pPr>
        <w:jc w:val="both"/>
      </w:pPr>
    </w:p>
    <w:p w:rsidR="00535F8C" w:rsidRDefault="00535F8C" w:rsidP="00D929BA">
      <w:pPr>
        <w:jc w:val="both"/>
      </w:pPr>
    </w:p>
    <w:p w:rsidR="00077E3D" w:rsidRPr="00D90195" w:rsidRDefault="00077E3D" w:rsidP="00D929BA">
      <w:pPr>
        <w:jc w:val="both"/>
      </w:pPr>
    </w:p>
    <w:p w:rsidR="00D929BA" w:rsidRDefault="00D929BA" w:rsidP="00D929BA">
      <w:pPr>
        <w:jc w:val="both"/>
        <w:rPr>
          <w:b/>
        </w:rPr>
      </w:pPr>
      <w:r w:rsidRPr="00D929BA">
        <w:rPr>
          <w:b/>
        </w:rPr>
        <w:lastRenderedPageBreak/>
        <w:t>Auswirkungen bei Ablehnung der Entfristung:</w:t>
      </w:r>
    </w:p>
    <w:p w:rsidR="005F0D31" w:rsidRPr="00D929BA" w:rsidRDefault="005F0D31" w:rsidP="00D929BA">
      <w:pPr>
        <w:jc w:val="both"/>
        <w:rPr>
          <w:b/>
        </w:rPr>
      </w:pPr>
    </w:p>
    <w:p w:rsidR="00D929BA" w:rsidRDefault="00D929BA" w:rsidP="00D929BA">
      <w:pPr>
        <w:jc w:val="both"/>
      </w:pPr>
      <w:r>
        <w:t>Eine Deckung des Beratungsbedarfes zum Thema „Schule und Inklusion“ kann ohne Stellenanteile nicht geleistet werden. Die Aufgabe kann</w:t>
      </w:r>
      <w:r w:rsidR="00CD019E">
        <w:t xml:space="preserve"> nicht mehr wahrgenommen werden, die Fälle können nicht mehr bearbeitet werden.</w:t>
      </w:r>
    </w:p>
    <w:p w:rsidR="00D929BA" w:rsidRDefault="00D929BA" w:rsidP="00D929BA">
      <w:pPr>
        <w:jc w:val="both"/>
      </w:pPr>
    </w:p>
    <w:p w:rsidR="00D929BA" w:rsidRPr="0045379B" w:rsidRDefault="00D929BA" w:rsidP="00D929BA">
      <w:pPr>
        <w:jc w:val="both"/>
      </w:pPr>
      <w:r>
        <w:t>Eltern müssen mit ihrem Anliegen z.B. an Schulen verwiesen werden und müssen sich Informationen und Unterstützung selbständig einholen. Dies ist vielen Eltern auf Grund mangelnder Kenntnisse des Schulsystems und wenig ausgeprägte</w:t>
      </w:r>
      <w:r w:rsidR="006E1F03">
        <w:t>m</w:t>
      </w:r>
      <w:r>
        <w:t xml:space="preserve"> Hilfesuchverhalten nicht möglich. Eine Umschichtung von Personalressourcen ist durch die stark angesti</w:t>
      </w:r>
      <w:r>
        <w:t>e</w:t>
      </w:r>
      <w:r>
        <w:t>gene Anzahl von Integrationsmaßnahmen in Regel-Kindertagesstätten ebenfalls nicht möglich. Es muss eher zudem befürchtet werden, dass hier wichtige Standards heru</w:t>
      </w:r>
      <w:r>
        <w:t>n</w:t>
      </w:r>
      <w:r w:rsidRPr="0045379B">
        <w:t>tergefahren werden müssen.</w:t>
      </w:r>
      <w:r w:rsidR="000622D9" w:rsidRPr="0045379B">
        <w:t xml:space="preserve"> Dies bedeutet, dass Eltern </w:t>
      </w:r>
      <w:r w:rsidR="0085615C" w:rsidRPr="0045379B">
        <w:t>vom Sozialdienst keine Ber</w:t>
      </w:r>
      <w:r w:rsidR="0085615C" w:rsidRPr="0045379B">
        <w:t>a</w:t>
      </w:r>
      <w:r w:rsidR="0085615C" w:rsidRPr="0045379B">
        <w:t>tung und keine konkrete Unterstützung und Hilfestellungen beim Thema „Inklusive B</w:t>
      </w:r>
      <w:r w:rsidR="0085615C" w:rsidRPr="0045379B">
        <w:t>e</w:t>
      </w:r>
      <w:r w:rsidR="0085615C" w:rsidRPr="0045379B">
        <w:t>schulung“ erhalten können. Die Informationen aus den vorausgegangenen Integration</w:t>
      </w:r>
      <w:r w:rsidR="0085615C" w:rsidRPr="0045379B">
        <w:t>s</w:t>
      </w:r>
      <w:r w:rsidR="0085615C" w:rsidRPr="0045379B">
        <w:t>verfahren gehen verloren und können nicht im Sinne des Kindes verortet werden.</w:t>
      </w:r>
    </w:p>
    <w:p w:rsidR="00D90195" w:rsidRPr="00455C91" w:rsidRDefault="00D90195" w:rsidP="00D90195"/>
    <w:p w:rsidR="00D929BA" w:rsidRDefault="00D90195" w:rsidP="00D90195">
      <w:pPr>
        <w:jc w:val="both"/>
      </w:pPr>
      <w:r w:rsidRPr="009F1E37">
        <w:t>Es zeigt sich in der Begleitung der Familien, dass bei der Wahl einer inklusiven Besch</w:t>
      </w:r>
      <w:r w:rsidRPr="009F1E37">
        <w:t>u</w:t>
      </w:r>
      <w:r w:rsidRPr="009F1E37">
        <w:t>lung viele Themen und Fragestellungen auftauchen, die beim Besuch einer Sonde</w:t>
      </w:r>
      <w:r w:rsidRPr="009F1E37">
        <w:t>r</w:t>
      </w:r>
      <w:r w:rsidRPr="009F1E37">
        <w:t>schule bereits geklärt sind. Dabei geht es z. B um Fragen zum Schulweg, zu unte</w:t>
      </w:r>
      <w:r w:rsidRPr="009F1E37">
        <w:t>r</w:t>
      </w:r>
      <w:r w:rsidRPr="009F1E37">
        <w:t>richtsergänzenden Angeboten oder Teilhabemöglichkeiten innerhalb der Klasse. Neben den betroffenen Familien haben auch Kooperationspartner Beratungsbedarf. Es ist e</w:t>
      </w:r>
      <w:r w:rsidRPr="009F1E37">
        <w:t>r</w:t>
      </w:r>
      <w:r w:rsidRPr="009F1E37">
        <w:t>forderlich, diese Fragen wahrzunehmen und ernst zu nehmen, damit Inklusion gelingt.</w:t>
      </w:r>
    </w:p>
    <w:p w:rsidR="00D90195" w:rsidRPr="00D90195" w:rsidRDefault="00D90195" w:rsidP="00D90195">
      <w:pPr>
        <w:jc w:val="both"/>
        <w:rPr>
          <w:u w:val="single"/>
        </w:rPr>
      </w:pPr>
    </w:p>
    <w:p w:rsidR="00D929BA" w:rsidRDefault="00D929BA" w:rsidP="00D929BA">
      <w:pPr>
        <w:jc w:val="both"/>
      </w:pPr>
      <w:r>
        <w:t>Eine Teilnahme an den Vorgesprächen zu den Bildungswegekonferenzen der Zukunft könnte nicht gewährleistet werden, obwohl sie im Sinne einer gelingenden Inklusion notwendig und unverzichtbar ist.</w:t>
      </w:r>
    </w:p>
    <w:p w:rsidR="00D929BA" w:rsidRDefault="00D929BA" w:rsidP="00D929BA">
      <w:pPr>
        <w:jc w:val="both"/>
      </w:pPr>
    </w:p>
    <w:p w:rsidR="003D7B0B" w:rsidRDefault="00D929BA" w:rsidP="006E1F03">
      <w:pPr>
        <w:jc w:val="both"/>
      </w:pPr>
      <w:r>
        <w:t>Betroffene Eltern erhalten keine Unterstützung aus einer Hand, Kooperationspartner müssen sich aufwändig außerhalb der Konferenzen Informationen und Unterstützung durch den Sozialdienst einholen. Die Koordination der Hilfen als Gesamtes ist in Gefahr und damit auch das Ziel der Inklusion.</w:t>
      </w:r>
    </w:p>
    <w:sectPr w:rsidR="003D7B0B"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03" w:rsidRDefault="006E1F03">
      <w:r>
        <w:separator/>
      </w:r>
    </w:p>
  </w:endnote>
  <w:endnote w:type="continuationSeparator" w:id="0">
    <w:p w:rsidR="006E1F03" w:rsidRDefault="006E1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03" w:rsidRDefault="006E1F03">
      <w:r>
        <w:separator/>
      </w:r>
    </w:p>
  </w:footnote>
  <w:footnote w:type="continuationSeparator" w:id="0">
    <w:p w:rsidR="006E1F03" w:rsidRDefault="006E1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03" w:rsidRDefault="006E1F03">
    <w:pPr>
      <w:framePr w:wrap="around" w:vAnchor="page" w:hAnchor="page" w:xAlign="center" w:y="710"/>
      <w:rPr>
        <w:rStyle w:val="Seitenzahl"/>
      </w:rPr>
    </w:pPr>
    <w:r>
      <w:rPr>
        <w:rStyle w:val="Seitenzahl"/>
      </w:rPr>
      <w:t xml:space="preserve">- </w:t>
    </w:r>
    <w:r w:rsidR="0016511D">
      <w:rPr>
        <w:rStyle w:val="Seitenzahl"/>
      </w:rPr>
      <w:fldChar w:fldCharType="begin"/>
    </w:r>
    <w:r>
      <w:rPr>
        <w:rStyle w:val="Seitenzahl"/>
      </w:rPr>
      <w:instrText xml:space="preserve"> PAGE </w:instrText>
    </w:r>
    <w:r w:rsidR="0016511D">
      <w:rPr>
        <w:rStyle w:val="Seitenzahl"/>
      </w:rPr>
      <w:fldChar w:fldCharType="separate"/>
    </w:r>
    <w:r w:rsidR="003E4058">
      <w:rPr>
        <w:rStyle w:val="Seitenzahl"/>
        <w:noProof/>
      </w:rPr>
      <w:t>2</w:t>
    </w:r>
    <w:r w:rsidR="0016511D">
      <w:rPr>
        <w:rStyle w:val="Seitenzahl"/>
      </w:rPr>
      <w:fldChar w:fldCharType="end"/>
    </w:r>
    <w:r>
      <w:rPr>
        <w:rStyle w:val="Seitenzahl"/>
      </w:rPr>
      <w:t xml:space="preserve"> -</w:t>
    </w:r>
  </w:p>
  <w:p w:rsidR="006E1F03" w:rsidRDefault="006E1F0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9254875"/>
    <w:multiLevelType w:val="singleLevel"/>
    <w:tmpl w:val="C8D2C306"/>
    <w:lvl w:ilvl="0">
      <w:start w:val="4"/>
      <w:numFmt w:val="decimal"/>
      <w:lvlText w:val="%1."/>
      <w:legacy w:legacy="1" w:legacySpace="0" w:legacyIndent="420"/>
      <w:lvlJc w:val="left"/>
      <w:pPr>
        <w:ind w:left="420" w:hanging="420"/>
      </w:pPr>
    </w:lvl>
  </w:abstractNum>
  <w:abstractNum w:abstractNumId="2">
    <w:nsid w:val="197A1F16"/>
    <w:multiLevelType w:val="hybridMultilevel"/>
    <w:tmpl w:val="7F6492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nsid w:val="3E267E09"/>
    <w:multiLevelType w:val="hybridMultilevel"/>
    <w:tmpl w:val="F4FAE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activeWritingStyle w:appName="MSWord" w:lang="de-DE" w:vendorID="64" w:dllVersion="131078" w:nlCheck="1" w:checkStyle="1"/>
  <w:proofState w:spelling="clean" w:grammar="clean"/>
  <w:stylePaneFormatFilter w:val="3001"/>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31A31"/>
    <w:rsid w:val="00054C0E"/>
    <w:rsid w:val="000622D9"/>
    <w:rsid w:val="00062E91"/>
    <w:rsid w:val="0007263C"/>
    <w:rsid w:val="00072AF6"/>
    <w:rsid w:val="00077E3D"/>
    <w:rsid w:val="000A1146"/>
    <w:rsid w:val="000B0945"/>
    <w:rsid w:val="000C1346"/>
    <w:rsid w:val="00103959"/>
    <w:rsid w:val="001050F5"/>
    <w:rsid w:val="001058DD"/>
    <w:rsid w:val="0016511D"/>
    <w:rsid w:val="00165C0D"/>
    <w:rsid w:val="00181857"/>
    <w:rsid w:val="0018739A"/>
    <w:rsid w:val="001F198A"/>
    <w:rsid w:val="001F5D9F"/>
    <w:rsid w:val="002058C2"/>
    <w:rsid w:val="00213C7A"/>
    <w:rsid w:val="00246D54"/>
    <w:rsid w:val="0026698C"/>
    <w:rsid w:val="00281169"/>
    <w:rsid w:val="002812E4"/>
    <w:rsid w:val="002924CB"/>
    <w:rsid w:val="002A5054"/>
    <w:rsid w:val="002A664A"/>
    <w:rsid w:val="002B6783"/>
    <w:rsid w:val="002C2BCF"/>
    <w:rsid w:val="003118CC"/>
    <w:rsid w:val="003237BB"/>
    <w:rsid w:val="003A7A41"/>
    <w:rsid w:val="003D5196"/>
    <w:rsid w:val="003D7B0B"/>
    <w:rsid w:val="003E4058"/>
    <w:rsid w:val="00406723"/>
    <w:rsid w:val="0045379B"/>
    <w:rsid w:val="00455C91"/>
    <w:rsid w:val="0046119F"/>
    <w:rsid w:val="00485060"/>
    <w:rsid w:val="004920E9"/>
    <w:rsid w:val="004B6796"/>
    <w:rsid w:val="004D7F89"/>
    <w:rsid w:val="004E5648"/>
    <w:rsid w:val="00535F8C"/>
    <w:rsid w:val="00537E08"/>
    <w:rsid w:val="00541330"/>
    <w:rsid w:val="005778E9"/>
    <w:rsid w:val="005B72A2"/>
    <w:rsid w:val="005D71B0"/>
    <w:rsid w:val="005E1C7B"/>
    <w:rsid w:val="005E7511"/>
    <w:rsid w:val="005E7A74"/>
    <w:rsid w:val="005F0D31"/>
    <w:rsid w:val="0060281A"/>
    <w:rsid w:val="006066E7"/>
    <w:rsid w:val="00694161"/>
    <w:rsid w:val="006C1AC2"/>
    <w:rsid w:val="006C1E53"/>
    <w:rsid w:val="006E0575"/>
    <w:rsid w:val="006E1F03"/>
    <w:rsid w:val="00701699"/>
    <w:rsid w:val="00746A71"/>
    <w:rsid w:val="00767369"/>
    <w:rsid w:val="00777A59"/>
    <w:rsid w:val="00793C8B"/>
    <w:rsid w:val="00796600"/>
    <w:rsid w:val="007B5FE2"/>
    <w:rsid w:val="007D0812"/>
    <w:rsid w:val="0083052F"/>
    <w:rsid w:val="008351E1"/>
    <w:rsid w:val="00840569"/>
    <w:rsid w:val="008471FD"/>
    <w:rsid w:val="0085615C"/>
    <w:rsid w:val="00884D6C"/>
    <w:rsid w:val="00891246"/>
    <w:rsid w:val="00893E55"/>
    <w:rsid w:val="008A1899"/>
    <w:rsid w:val="008B3854"/>
    <w:rsid w:val="008D4250"/>
    <w:rsid w:val="008F7EA6"/>
    <w:rsid w:val="00906C7E"/>
    <w:rsid w:val="00907134"/>
    <w:rsid w:val="00963ADD"/>
    <w:rsid w:val="00995EBD"/>
    <w:rsid w:val="009B0FBE"/>
    <w:rsid w:val="009B36EE"/>
    <w:rsid w:val="009B7794"/>
    <w:rsid w:val="00A206E5"/>
    <w:rsid w:val="00A34898"/>
    <w:rsid w:val="00A432B6"/>
    <w:rsid w:val="00A77F1E"/>
    <w:rsid w:val="00A8778F"/>
    <w:rsid w:val="00AF120D"/>
    <w:rsid w:val="00B012AF"/>
    <w:rsid w:val="00B04290"/>
    <w:rsid w:val="00B238D8"/>
    <w:rsid w:val="00B80DEF"/>
    <w:rsid w:val="00B935F7"/>
    <w:rsid w:val="00C330BD"/>
    <w:rsid w:val="00C42332"/>
    <w:rsid w:val="00C448D3"/>
    <w:rsid w:val="00C45C88"/>
    <w:rsid w:val="00CD019E"/>
    <w:rsid w:val="00CD0B27"/>
    <w:rsid w:val="00CE7D5B"/>
    <w:rsid w:val="00CF5EB7"/>
    <w:rsid w:val="00D026BD"/>
    <w:rsid w:val="00D0558C"/>
    <w:rsid w:val="00D15184"/>
    <w:rsid w:val="00D24277"/>
    <w:rsid w:val="00D544BF"/>
    <w:rsid w:val="00D578D3"/>
    <w:rsid w:val="00D90195"/>
    <w:rsid w:val="00D929BA"/>
    <w:rsid w:val="00DA24CD"/>
    <w:rsid w:val="00DA701E"/>
    <w:rsid w:val="00DC6025"/>
    <w:rsid w:val="00DE32BA"/>
    <w:rsid w:val="00DE370A"/>
    <w:rsid w:val="00DF0097"/>
    <w:rsid w:val="00DF1396"/>
    <w:rsid w:val="00DF268B"/>
    <w:rsid w:val="00DF3470"/>
    <w:rsid w:val="00E011F0"/>
    <w:rsid w:val="00E1091B"/>
    <w:rsid w:val="00E1162F"/>
    <w:rsid w:val="00E11D5F"/>
    <w:rsid w:val="00EC21B1"/>
    <w:rsid w:val="00F00C79"/>
    <w:rsid w:val="00F10F2E"/>
    <w:rsid w:val="00F132FA"/>
    <w:rsid w:val="00F134D2"/>
    <w:rsid w:val="00F27657"/>
    <w:rsid w:val="00F27BB8"/>
    <w:rsid w:val="00F31D28"/>
    <w:rsid w:val="00F36527"/>
    <w:rsid w:val="00F71ED8"/>
    <w:rsid w:val="00FF2D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40569"/>
    <w:rPr>
      <w:rFonts w:ascii="Arial" w:hAnsi="Arial"/>
      <w:sz w:val="24"/>
    </w:rPr>
  </w:style>
  <w:style w:type="paragraph" w:styleId="berschrift1">
    <w:name w:val="heading 1"/>
    <w:basedOn w:val="Standard"/>
    <w:next w:val="Standard"/>
    <w:qFormat/>
    <w:rsid w:val="00796600"/>
    <w:pPr>
      <w:tabs>
        <w:tab w:val="left" w:pos="6521"/>
      </w:tabs>
      <w:jc w:val="center"/>
      <w:outlineLvl w:val="0"/>
    </w:pPr>
    <w:rPr>
      <w:b/>
      <w:sz w:val="36"/>
      <w:u w:val="single"/>
    </w:rPr>
  </w:style>
  <w:style w:type="paragraph" w:styleId="berschrift2">
    <w:name w:val="heading 2"/>
    <w:basedOn w:val="Standard"/>
    <w:next w:val="Standard"/>
    <w:qFormat/>
    <w:rsid w:val="00796600"/>
    <w:pPr>
      <w:outlineLvl w:val="1"/>
    </w:pPr>
    <w:rPr>
      <w:b/>
      <w:u w:val="single"/>
    </w:rPr>
  </w:style>
  <w:style w:type="paragraph" w:styleId="berschrift3">
    <w:name w:val="heading 3"/>
    <w:basedOn w:val="Standard"/>
    <w:next w:val="Standard"/>
    <w:qFormat/>
    <w:rsid w:val="0060281A"/>
    <w:pPr>
      <w:keepNext/>
      <w:spacing w:before="240" w:after="60"/>
      <w:outlineLvl w:val="2"/>
    </w:pPr>
    <w:rPr>
      <w:b/>
    </w:rPr>
  </w:style>
  <w:style w:type="paragraph" w:styleId="berschrift4">
    <w:name w:val="heading 4"/>
    <w:basedOn w:val="Standard"/>
    <w:next w:val="Standard"/>
    <w:qFormat/>
    <w:rsid w:val="0060281A"/>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60281A"/>
    <w:rPr>
      <w:sz w:val="16"/>
    </w:rPr>
  </w:style>
  <w:style w:type="paragraph" w:styleId="Kommentartext">
    <w:name w:val="annotation text"/>
    <w:basedOn w:val="Standard"/>
    <w:link w:val="KommentartextZchn"/>
    <w:semiHidden/>
    <w:rsid w:val="0060281A"/>
    <w:rPr>
      <w:sz w:val="20"/>
    </w:rPr>
  </w:style>
  <w:style w:type="paragraph" w:styleId="Fuzeile">
    <w:name w:val="footer"/>
    <w:basedOn w:val="Standard"/>
    <w:rsid w:val="0060281A"/>
    <w:pPr>
      <w:tabs>
        <w:tab w:val="center" w:pos="4819"/>
        <w:tab w:val="right" w:pos="9071"/>
      </w:tabs>
    </w:pPr>
  </w:style>
  <w:style w:type="paragraph" w:styleId="Kopfzeile">
    <w:name w:val="header"/>
    <w:basedOn w:val="Standard"/>
    <w:rsid w:val="0060281A"/>
    <w:pPr>
      <w:tabs>
        <w:tab w:val="center" w:pos="4819"/>
        <w:tab w:val="right" w:pos="9071"/>
      </w:tabs>
    </w:pPr>
  </w:style>
  <w:style w:type="paragraph" w:styleId="Sprechblasentext">
    <w:name w:val="Balloon Text"/>
    <w:basedOn w:val="Standard"/>
    <w:semiHidden/>
    <w:rsid w:val="002058C2"/>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D929BA"/>
    <w:pPr>
      <w:ind w:left="720"/>
      <w:contextualSpacing/>
    </w:pPr>
  </w:style>
  <w:style w:type="table" w:styleId="Tabellengitternetz">
    <w:name w:val="Table Grid"/>
    <w:basedOn w:val="NormaleTabelle"/>
    <w:rsid w:val="005F0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chn"/>
    <w:rsid w:val="00C45C88"/>
    <w:rPr>
      <w:b/>
      <w:bCs/>
    </w:rPr>
  </w:style>
  <w:style w:type="character" w:customStyle="1" w:styleId="KommentartextZchn">
    <w:name w:val="Kommentartext Zchn"/>
    <w:basedOn w:val="Absatz-Standardschriftart"/>
    <w:link w:val="Kommentartext"/>
    <w:semiHidden/>
    <w:rsid w:val="00C45C88"/>
    <w:rPr>
      <w:rFonts w:ascii="Arial" w:hAnsi="Arial"/>
    </w:rPr>
  </w:style>
  <w:style w:type="character" w:customStyle="1" w:styleId="KommentarthemaZchn">
    <w:name w:val="Kommentarthema Zchn"/>
    <w:basedOn w:val="KommentartextZchn"/>
    <w:link w:val="Kommentarthema"/>
    <w:rsid w:val="00C45C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Wegfall eines Stellenvermerks zum Stellenplan</vt:lpstr>
    </vt:vector>
  </TitlesOfParts>
  <Company>Landeshauptstadt Stuttgart</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Wegfall eines Stellenvermerks zum Stellenplan</dc:title>
  <dc:subject>Musterformular für das Stellenplanverfahren 2016/2017</dc:subject>
  <dc:creator>10-3</dc:creator>
  <cp:lastModifiedBy>U103007</cp:lastModifiedBy>
  <cp:revision>7</cp:revision>
  <cp:lastPrinted>2015-10-19T08:38:00Z</cp:lastPrinted>
  <dcterms:created xsi:type="dcterms:W3CDTF">2015-09-08T10:37:00Z</dcterms:created>
  <dcterms:modified xsi:type="dcterms:W3CDTF">2015-10-19T08:39:00Z</dcterms:modified>
</cp:coreProperties>
</file>