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4D47F5" w:rsidP="00397717">
      <w:pPr>
        <w:jc w:val="right"/>
      </w:pPr>
      <w:r>
        <w:t xml:space="preserve"> </w:t>
      </w:r>
      <w:r w:rsidR="003D7B0B" w:rsidRPr="006E0575">
        <w:t xml:space="preserve">Anlage </w:t>
      </w:r>
      <w:r w:rsidR="00977B63">
        <w:t>7</w:t>
      </w:r>
      <w:bookmarkStart w:id="0" w:name="_GoBack"/>
      <w:bookmarkEnd w:id="0"/>
      <w:r w:rsidR="003D7B0B" w:rsidRPr="006E0575">
        <w:t xml:space="preserve"> zur GRDrs</w:t>
      </w:r>
      <w:r w:rsidR="000E58A8">
        <w:t>.</w:t>
      </w:r>
      <w:r w:rsidR="003D7B0B" w:rsidRPr="006E0575">
        <w:t xml:space="preserve"> </w:t>
      </w:r>
      <w:r w:rsidR="000E58A8">
        <w:t>821</w:t>
      </w:r>
      <w:r w:rsidR="005F5B3D">
        <w:t>/20</w:t>
      </w:r>
      <w:r w:rsidR="004E292E">
        <w:t>23</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500A73">
        <w:rPr>
          <w:b/>
          <w:sz w:val="36"/>
          <w:szCs w:val="36"/>
          <w:u w:val="single"/>
        </w:rPr>
        <w:t>2</w:t>
      </w:r>
      <w:r w:rsidR="004E292E">
        <w:rPr>
          <w:b/>
          <w:sz w:val="36"/>
          <w:szCs w:val="36"/>
          <w:u w:val="single"/>
        </w:rPr>
        <w:t>4</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DE362D">
        <w:trPr>
          <w:cantSplit/>
          <w:tblHeader/>
        </w:trPr>
        <w:tc>
          <w:tcPr>
            <w:tcW w:w="1814" w:type="dxa"/>
            <w:shd w:val="pct12" w:color="auto" w:fill="FFFFFF"/>
          </w:tcPr>
          <w:p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rsidR="00DE362D" w:rsidRDefault="00606F80" w:rsidP="0030686C">
            <w:pPr>
              <w:spacing w:before="120" w:after="120" w:line="200" w:lineRule="exact"/>
              <w:ind w:right="-85"/>
              <w:rPr>
                <w:sz w:val="16"/>
                <w:szCs w:val="16"/>
              </w:rPr>
            </w:pPr>
            <w:r>
              <w:rPr>
                <w:sz w:val="16"/>
                <w:szCs w:val="16"/>
              </w:rPr>
              <w:t>BesGr.</w:t>
            </w:r>
          </w:p>
          <w:p w:rsidR="00DE362D" w:rsidRDefault="00606F80" w:rsidP="0030686C">
            <w:pPr>
              <w:spacing w:before="120" w:after="120" w:line="200" w:lineRule="exact"/>
              <w:ind w:right="-85"/>
              <w:rPr>
                <w:sz w:val="16"/>
                <w:szCs w:val="16"/>
              </w:rPr>
            </w:pPr>
            <w:r>
              <w:rPr>
                <w:sz w:val="16"/>
                <w:szCs w:val="16"/>
              </w:rPr>
              <w:t>oder</w:t>
            </w:r>
          </w:p>
          <w:p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Funktions</w:t>
            </w:r>
            <w:r w:rsidR="00622CC7">
              <w:rPr>
                <w:sz w:val="16"/>
                <w:szCs w:val="16"/>
              </w:rPr>
              <w:t>-</w:t>
            </w:r>
            <w:r w:rsidR="00622CC7">
              <w:rPr>
                <w:sz w:val="16"/>
                <w:szCs w:val="16"/>
              </w:rPr>
              <w:br/>
            </w:r>
            <w:r w:rsidRPr="006E0575">
              <w:rPr>
                <w:sz w:val="16"/>
                <w:szCs w:val="16"/>
              </w:rPr>
              <w:t>bezeichnung</w:t>
            </w:r>
          </w:p>
        </w:tc>
        <w:tc>
          <w:tcPr>
            <w:tcW w:w="737"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rsidR="005F5B3D" w:rsidRPr="006E0575" w:rsidRDefault="005F5B3D" w:rsidP="0030686C">
            <w:pPr>
              <w:spacing w:before="120" w:after="120" w:line="200" w:lineRule="exact"/>
              <w:ind w:right="-85"/>
              <w:rPr>
                <w:sz w:val="16"/>
                <w:szCs w:val="16"/>
              </w:rPr>
            </w:pPr>
            <w:r>
              <w:rPr>
                <w:sz w:val="16"/>
                <w:szCs w:val="16"/>
              </w:rPr>
              <w:t>d</w:t>
            </w:r>
            <w:r w:rsidRPr="006E0575">
              <w:rPr>
                <w:sz w:val="16"/>
                <w:szCs w:val="16"/>
              </w:rPr>
              <w:t>urchschnittl.</w:t>
            </w:r>
            <w:r>
              <w:rPr>
                <w:sz w:val="16"/>
                <w:szCs w:val="16"/>
              </w:rPr>
              <w:br/>
            </w:r>
            <w:r w:rsidRPr="006E0575">
              <w:rPr>
                <w:sz w:val="16"/>
                <w:szCs w:val="16"/>
              </w:rPr>
              <w:t>jährl.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F5B3D" w:rsidRPr="006E0575" w:rsidTr="00DE362D">
        <w:tc>
          <w:tcPr>
            <w:tcW w:w="1814" w:type="dxa"/>
          </w:tcPr>
          <w:p w:rsidR="005F5B3D" w:rsidRDefault="005F5B3D" w:rsidP="0030686C">
            <w:pPr>
              <w:rPr>
                <w:sz w:val="20"/>
              </w:rPr>
            </w:pPr>
          </w:p>
          <w:p w:rsidR="005F5B3D" w:rsidRDefault="008020A7" w:rsidP="0030686C">
            <w:pPr>
              <w:rPr>
                <w:sz w:val="20"/>
              </w:rPr>
            </w:pPr>
            <w:r>
              <w:rPr>
                <w:sz w:val="20"/>
              </w:rPr>
              <w:t>32-21</w:t>
            </w:r>
          </w:p>
          <w:p w:rsidR="0011112B" w:rsidRDefault="0011112B" w:rsidP="0030686C">
            <w:pPr>
              <w:rPr>
                <w:sz w:val="20"/>
              </w:rPr>
            </w:pPr>
          </w:p>
          <w:p w:rsidR="0011112B" w:rsidRDefault="008020A7" w:rsidP="0030686C">
            <w:pPr>
              <w:rPr>
                <w:sz w:val="20"/>
              </w:rPr>
            </w:pPr>
            <w:r>
              <w:rPr>
                <w:sz w:val="20"/>
              </w:rPr>
              <w:t>3221</w:t>
            </w:r>
            <w:r w:rsidR="000E58A8">
              <w:rPr>
                <w:sz w:val="20"/>
              </w:rPr>
              <w:t xml:space="preserve"> </w:t>
            </w:r>
            <w:r>
              <w:rPr>
                <w:sz w:val="20"/>
              </w:rPr>
              <w:t>5214</w:t>
            </w:r>
          </w:p>
          <w:p w:rsidR="005F5B3D" w:rsidRPr="006E0575" w:rsidRDefault="005F5B3D" w:rsidP="0030686C">
            <w:pPr>
              <w:rPr>
                <w:sz w:val="20"/>
              </w:rPr>
            </w:pPr>
          </w:p>
        </w:tc>
        <w:tc>
          <w:tcPr>
            <w:tcW w:w="1701" w:type="dxa"/>
          </w:tcPr>
          <w:p w:rsidR="00B81099" w:rsidRDefault="00B81099" w:rsidP="00B81099">
            <w:pPr>
              <w:rPr>
                <w:sz w:val="20"/>
              </w:rPr>
            </w:pPr>
          </w:p>
          <w:p w:rsidR="00B81099" w:rsidRDefault="00B81099" w:rsidP="00B81099">
            <w:r>
              <w:rPr>
                <w:sz w:val="20"/>
              </w:rPr>
              <w:t xml:space="preserve">Amt für </w:t>
            </w:r>
            <w:r>
              <w:rPr>
                <w:sz w:val="20"/>
              </w:rPr>
              <w:br/>
              <w:t xml:space="preserve">öffentliche </w:t>
            </w:r>
            <w:r>
              <w:rPr>
                <w:sz w:val="20"/>
              </w:rPr>
              <w:br/>
              <w:t>Ordnung</w:t>
            </w:r>
          </w:p>
          <w:p w:rsidR="005F5B3D" w:rsidRPr="006E0575" w:rsidRDefault="005F5B3D" w:rsidP="0030686C">
            <w:pPr>
              <w:rPr>
                <w:sz w:val="20"/>
              </w:rPr>
            </w:pPr>
          </w:p>
        </w:tc>
        <w:tc>
          <w:tcPr>
            <w:tcW w:w="794" w:type="dxa"/>
          </w:tcPr>
          <w:p w:rsidR="005F5B3D" w:rsidRDefault="005F5B3D" w:rsidP="0030686C">
            <w:pPr>
              <w:rPr>
                <w:sz w:val="20"/>
              </w:rPr>
            </w:pPr>
          </w:p>
          <w:p w:rsidR="005F5B3D" w:rsidRPr="006E0575" w:rsidRDefault="005E7D8F" w:rsidP="0030686C">
            <w:pPr>
              <w:rPr>
                <w:sz w:val="20"/>
              </w:rPr>
            </w:pPr>
            <w:r>
              <w:rPr>
                <w:sz w:val="20"/>
              </w:rPr>
              <w:t>A</w:t>
            </w:r>
            <w:r w:rsidR="000E58A8">
              <w:rPr>
                <w:sz w:val="20"/>
              </w:rPr>
              <w:t xml:space="preserve"> </w:t>
            </w:r>
            <w:r>
              <w:rPr>
                <w:sz w:val="20"/>
              </w:rPr>
              <w:t>11</w:t>
            </w:r>
          </w:p>
        </w:tc>
        <w:tc>
          <w:tcPr>
            <w:tcW w:w="1928" w:type="dxa"/>
          </w:tcPr>
          <w:p w:rsidR="005F5B3D" w:rsidRDefault="005F5B3D" w:rsidP="0030686C">
            <w:pPr>
              <w:rPr>
                <w:sz w:val="20"/>
              </w:rPr>
            </w:pPr>
          </w:p>
          <w:p w:rsidR="005F5B3D" w:rsidRDefault="008020A7" w:rsidP="0030686C">
            <w:pPr>
              <w:rPr>
                <w:sz w:val="20"/>
              </w:rPr>
            </w:pPr>
            <w:r>
              <w:rPr>
                <w:sz w:val="20"/>
              </w:rPr>
              <w:t>Sachbearbeit</w:t>
            </w:r>
            <w:r w:rsidR="000E58A8">
              <w:rPr>
                <w:sz w:val="20"/>
              </w:rPr>
              <w:t>er/-in</w:t>
            </w:r>
          </w:p>
          <w:p w:rsidR="00C204B7" w:rsidRPr="006E0575" w:rsidRDefault="00C204B7" w:rsidP="0030686C">
            <w:pPr>
              <w:rPr>
                <w:sz w:val="20"/>
              </w:rPr>
            </w:pPr>
            <w:r>
              <w:rPr>
                <w:sz w:val="20"/>
              </w:rPr>
              <w:t>Gospelkirchentag</w:t>
            </w:r>
          </w:p>
        </w:tc>
        <w:tc>
          <w:tcPr>
            <w:tcW w:w="737" w:type="dxa"/>
            <w:shd w:val="pct12" w:color="auto" w:fill="FFFFFF"/>
          </w:tcPr>
          <w:p w:rsidR="005F5B3D" w:rsidRDefault="005F5B3D" w:rsidP="0030686C">
            <w:pPr>
              <w:rPr>
                <w:sz w:val="20"/>
              </w:rPr>
            </w:pPr>
          </w:p>
          <w:p w:rsidR="005F5B3D" w:rsidRPr="006E0575" w:rsidRDefault="005E7D8F" w:rsidP="0030686C">
            <w:pPr>
              <w:rPr>
                <w:sz w:val="20"/>
              </w:rPr>
            </w:pPr>
            <w:r>
              <w:rPr>
                <w:sz w:val="20"/>
              </w:rPr>
              <w:t>1,0</w:t>
            </w:r>
          </w:p>
        </w:tc>
        <w:tc>
          <w:tcPr>
            <w:tcW w:w="1134" w:type="dxa"/>
          </w:tcPr>
          <w:p w:rsidR="005F5B3D" w:rsidRPr="00972B80" w:rsidRDefault="005F5B3D" w:rsidP="0030686C">
            <w:pPr>
              <w:rPr>
                <w:sz w:val="20"/>
              </w:rPr>
            </w:pPr>
          </w:p>
          <w:p w:rsidR="005F5B3D" w:rsidRPr="00972B80" w:rsidRDefault="00894A43" w:rsidP="004E292E">
            <w:pPr>
              <w:rPr>
                <w:sz w:val="20"/>
              </w:rPr>
            </w:pPr>
            <w:r w:rsidRPr="00972B80">
              <w:rPr>
                <w:sz w:val="20"/>
              </w:rPr>
              <w:t>K</w:t>
            </w:r>
            <w:r w:rsidR="00500A73" w:rsidRPr="00972B80">
              <w:rPr>
                <w:sz w:val="20"/>
              </w:rPr>
              <w:t xml:space="preserve">W </w:t>
            </w:r>
            <w:r w:rsidR="00500A73" w:rsidRPr="00372965">
              <w:rPr>
                <w:sz w:val="20"/>
              </w:rPr>
              <w:t>01/202</w:t>
            </w:r>
            <w:r w:rsidR="004E292E" w:rsidRPr="00372965">
              <w:rPr>
                <w:sz w:val="20"/>
              </w:rPr>
              <w:t>7</w:t>
            </w:r>
          </w:p>
        </w:tc>
        <w:tc>
          <w:tcPr>
            <w:tcW w:w="1417" w:type="dxa"/>
          </w:tcPr>
          <w:p w:rsidR="005F5B3D" w:rsidRDefault="005F5B3D" w:rsidP="0030686C">
            <w:pPr>
              <w:rPr>
                <w:sz w:val="20"/>
              </w:rPr>
            </w:pPr>
          </w:p>
          <w:p w:rsidR="005F5B3D" w:rsidRPr="006E0575" w:rsidRDefault="000E58A8" w:rsidP="0030686C">
            <w:pPr>
              <w:rPr>
                <w:sz w:val="20"/>
              </w:rPr>
            </w:pPr>
            <w:r>
              <w:rPr>
                <w:sz w:val="20"/>
              </w:rPr>
              <w:t>104.400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783AE0" w:rsidRPr="00332126" w:rsidRDefault="00C204B7" w:rsidP="00783AE0">
      <w:pPr>
        <w:tabs>
          <w:tab w:val="left" w:pos="0"/>
          <w:tab w:val="left" w:pos="4536"/>
          <w:tab w:val="right" w:pos="8505"/>
        </w:tabs>
        <w:rPr>
          <w:rFonts w:cs="Arial"/>
        </w:rPr>
      </w:pPr>
      <w:r>
        <w:rPr>
          <w:rFonts w:cs="Arial"/>
        </w:rPr>
        <w:t>Der</w:t>
      </w:r>
      <w:r w:rsidR="00B4156D">
        <w:rPr>
          <w:rFonts w:cs="Arial"/>
        </w:rPr>
        <w:t xml:space="preserve"> Schaffung einer Sachbearbeitungs</w:t>
      </w:r>
      <w:r w:rsidR="00783AE0" w:rsidRPr="00332126">
        <w:rPr>
          <w:rFonts w:cs="Arial"/>
        </w:rPr>
        <w:t xml:space="preserve">stelle A 11 </w:t>
      </w:r>
      <w:r w:rsidR="00894A43">
        <w:rPr>
          <w:rFonts w:cs="Arial"/>
        </w:rPr>
        <w:t>bei der Dienststelle</w:t>
      </w:r>
      <w:r>
        <w:rPr>
          <w:rFonts w:cs="Arial"/>
        </w:rPr>
        <w:t xml:space="preserve"> </w:t>
      </w:r>
      <w:r w:rsidR="00783AE0" w:rsidRPr="00332126">
        <w:rPr>
          <w:rFonts w:cs="Arial"/>
        </w:rPr>
        <w:t xml:space="preserve">32-21 „Allgemeine Sicherheits- und Ordnungsangelegenheiten“ </w:t>
      </w:r>
      <w:r w:rsidR="00F13EC7" w:rsidRPr="00372965">
        <w:rPr>
          <w:rFonts w:cs="Arial"/>
        </w:rPr>
        <w:t>zur Umsetzung des Gospelkirchentags</w:t>
      </w:r>
      <w:r w:rsidR="00F13EC7">
        <w:rPr>
          <w:rFonts w:cs="Arial"/>
        </w:rPr>
        <w:t xml:space="preserve"> 2026</w:t>
      </w:r>
      <w:r>
        <w:rPr>
          <w:rFonts w:cs="Arial"/>
        </w:rPr>
        <w:t xml:space="preserve"> im Umfang </w:t>
      </w:r>
      <w:r w:rsidR="000E58A8">
        <w:rPr>
          <w:rFonts w:cs="Arial"/>
        </w:rPr>
        <w:t>von 1,0</w:t>
      </w:r>
      <w:r>
        <w:rPr>
          <w:rFonts w:cs="Arial"/>
        </w:rPr>
        <w:t xml:space="preserve"> </w:t>
      </w:r>
      <w:r w:rsidR="000E58A8">
        <w:rPr>
          <w:rFonts w:cs="Arial"/>
        </w:rPr>
        <w:t>S</w:t>
      </w:r>
      <w:r>
        <w:rPr>
          <w:rFonts w:cs="Arial"/>
        </w:rPr>
        <w:t>telle wird zugestimmt</w:t>
      </w:r>
      <w:r w:rsidR="00FF71EB" w:rsidRPr="00372965">
        <w:rPr>
          <w:rFonts w:cs="Arial"/>
        </w:rPr>
        <w:t>.</w:t>
      </w:r>
    </w:p>
    <w:p w:rsidR="003D7B0B" w:rsidRDefault="003D7B0B" w:rsidP="00884D6C">
      <w:pPr>
        <w:pStyle w:val="berschrift1"/>
      </w:pPr>
      <w:r>
        <w:t>2</w:t>
      </w:r>
      <w:r>
        <w:tab/>
        <w:t>Schaffun</w:t>
      </w:r>
      <w:r w:rsidRPr="00884D6C">
        <w:rPr>
          <w:u w:val="none"/>
        </w:rPr>
        <w:t>g</w:t>
      </w:r>
      <w:r>
        <w:t>skriterien</w:t>
      </w:r>
    </w:p>
    <w:p w:rsidR="003D7B0B" w:rsidRDefault="003D7B0B" w:rsidP="00884D6C"/>
    <w:p w:rsidR="00C204B7" w:rsidRDefault="00C204B7" w:rsidP="00884D6C">
      <w:r>
        <w:t>Das Schaffungskriterium „erhebliche Arbeitsvermehrung“ ist im Umfang einer Vollzeitstelle erfüllt.</w:t>
      </w:r>
    </w:p>
    <w:p w:rsidR="003D7B0B" w:rsidRDefault="003D7B0B" w:rsidP="00884D6C">
      <w:pPr>
        <w:pStyle w:val="berschrift1"/>
      </w:pPr>
      <w:r>
        <w:t>3</w:t>
      </w:r>
      <w:r>
        <w:tab/>
        <w:t>Bedarf</w:t>
      </w:r>
    </w:p>
    <w:p w:rsidR="003D7B0B" w:rsidRPr="00884D6C" w:rsidRDefault="00884D6C" w:rsidP="00802674">
      <w:pPr>
        <w:pStyle w:val="berschrift2"/>
      </w:pPr>
      <w:r w:rsidRPr="00884D6C">
        <w:t>3.1</w:t>
      </w:r>
      <w:r w:rsidRPr="00884D6C">
        <w:tab/>
      </w:r>
      <w:r w:rsidR="006E0575" w:rsidRPr="00884D6C">
        <w:t>Anlass</w:t>
      </w:r>
    </w:p>
    <w:p w:rsidR="009012CC" w:rsidRDefault="00783AE0" w:rsidP="009012CC">
      <w:pPr>
        <w:tabs>
          <w:tab w:val="left" w:pos="0"/>
          <w:tab w:val="left" w:pos="1985"/>
          <w:tab w:val="left" w:pos="4536"/>
          <w:tab w:val="right" w:pos="8505"/>
        </w:tabs>
        <w:rPr>
          <w:rFonts w:cs="Arial"/>
          <w:color w:val="000000"/>
        </w:rPr>
      </w:pPr>
      <w:r>
        <w:rPr>
          <w:b/>
        </w:rPr>
        <w:br/>
      </w:r>
      <w:r w:rsidR="009012CC">
        <w:rPr>
          <w:rFonts w:cs="Arial"/>
        </w:rPr>
        <w:t>Erstmalig wird Stuttgart Austragungsort des 12. Internationalen Gospelkirchentag</w:t>
      </w:r>
      <w:r w:rsidR="0086325C">
        <w:rPr>
          <w:rFonts w:cs="Arial"/>
        </w:rPr>
        <w:t>s</w:t>
      </w:r>
      <w:r w:rsidR="009012CC">
        <w:rPr>
          <w:rFonts w:cs="Arial"/>
        </w:rPr>
        <w:t xml:space="preserve"> werden</w:t>
      </w:r>
      <w:r w:rsidR="009012CC" w:rsidRPr="00332126">
        <w:rPr>
          <w:rFonts w:cs="Arial"/>
        </w:rPr>
        <w:t xml:space="preserve">. </w:t>
      </w:r>
      <w:r w:rsidR="009012CC">
        <w:t xml:space="preserve">Der Internationale Gospelkirchentag ist Europas größtes Gospelfestival, das alle zwei Jahre an wechselnden Orten in Deutschland bis zu 5.000 Sängerinnen und Sänger aus rund 15 Nationen vereint. Es </w:t>
      </w:r>
      <w:r w:rsidR="009012CC">
        <w:rPr>
          <w:rFonts w:cs="Arial"/>
          <w:color w:val="000000"/>
        </w:rPr>
        <w:t>werden zahlreiche</w:t>
      </w:r>
      <w:r w:rsidR="009012CC" w:rsidRPr="00332126">
        <w:rPr>
          <w:rFonts w:cs="Arial"/>
          <w:color w:val="000000"/>
        </w:rPr>
        <w:t xml:space="preserve"> Veranstaltungen </w:t>
      </w:r>
      <w:r w:rsidR="009E4E92">
        <w:t xml:space="preserve">mit über 320 Stunden Programm </w:t>
      </w:r>
      <w:r w:rsidR="009012CC" w:rsidRPr="00332126">
        <w:rPr>
          <w:rFonts w:cs="Arial"/>
          <w:color w:val="000000"/>
        </w:rPr>
        <w:t xml:space="preserve">stattfinden, die von </w:t>
      </w:r>
      <w:r w:rsidR="009012CC">
        <w:rPr>
          <w:rFonts w:cs="Arial"/>
          <w:color w:val="000000"/>
        </w:rPr>
        <w:t>der langen Gospelnacht, Workshops</w:t>
      </w:r>
      <w:r w:rsidR="009012CC" w:rsidRPr="00332126">
        <w:rPr>
          <w:rFonts w:cs="Arial"/>
          <w:color w:val="000000"/>
        </w:rPr>
        <w:t xml:space="preserve">, </w:t>
      </w:r>
      <w:r w:rsidR="009E4E92">
        <w:rPr>
          <w:rFonts w:cs="Arial"/>
          <w:color w:val="000000"/>
        </w:rPr>
        <w:t>offenes Gospelsingen</w:t>
      </w:r>
      <w:r w:rsidR="009012CC" w:rsidRPr="00332126">
        <w:rPr>
          <w:rFonts w:cs="Arial"/>
          <w:color w:val="000000"/>
        </w:rPr>
        <w:t xml:space="preserve"> bis hin zu Konzerten und anderen Open-Air-Veranstaltungen reichen. </w:t>
      </w:r>
      <w:r w:rsidR="009012CC">
        <w:rPr>
          <w:rFonts w:cs="Arial"/>
          <w:color w:val="000000"/>
        </w:rPr>
        <w:t>Von Relevanz</w:t>
      </w:r>
      <w:r w:rsidR="009012CC" w:rsidRPr="00802674">
        <w:rPr>
          <w:rFonts w:cs="Arial"/>
          <w:color w:val="000000"/>
        </w:rPr>
        <w:t xml:space="preserve"> werden voraussichtlich die </w:t>
      </w:r>
      <w:r w:rsidR="009E4E92">
        <w:rPr>
          <w:rFonts w:cs="Arial"/>
          <w:color w:val="000000"/>
        </w:rPr>
        <w:t>großen internationalen</w:t>
      </w:r>
      <w:r w:rsidR="009012CC" w:rsidRPr="00802674">
        <w:rPr>
          <w:rFonts w:cs="Arial"/>
          <w:color w:val="000000"/>
        </w:rPr>
        <w:t xml:space="preserve"> </w:t>
      </w:r>
      <w:r w:rsidR="009E4E92">
        <w:rPr>
          <w:rFonts w:cs="Arial"/>
          <w:color w:val="000000"/>
        </w:rPr>
        <w:t>Gospel</w:t>
      </w:r>
      <w:r w:rsidR="009012CC" w:rsidRPr="00802674">
        <w:rPr>
          <w:rFonts w:cs="Arial"/>
          <w:color w:val="000000"/>
        </w:rPr>
        <w:t>konzerte sowie</w:t>
      </w:r>
      <w:r w:rsidR="009012CC" w:rsidRPr="00332126">
        <w:rPr>
          <w:rFonts w:cs="Arial"/>
          <w:color w:val="000000"/>
        </w:rPr>
        <w:t xml:space="preserve"> </w:t>
      </w:r>
      <w:r w:rsidR="009E4E92">
        <w:rPr>
          <w:rFonts w:cs="Arial"/>
          <w:color w:val="000000"/>
        </w:rPr>
        <w:t>die</w:t>
      </w:r>
      <w:r w:rsidR="009012CC" w:rsidRPr="00332126">
        <w:rPr>
          <w:rFonts w:cs="Arial"/>
          <w:color w:val="000000"/>
        </w:rPr>
        <w:t xml:space="preserve"> frei zugänglichen Open-Air-Veranstaltungen sein. Insgesamt ist mit mehr als</w:t>
      </w:r>
      <w:r w:rsidR="009E4E92">
        <w:rPr>
          <w:rFonts w:cs="Arial"/>
          <w:color w:val="000000"/>
        </w:rPr>
        <w:t xml:space="preserve"> 45</w:t>
      </w:r>
      <w:r w:rsidR="009012CC">
        <w:rPr>
          <w:rFonts w:cs="Arial"/>
          <w:color w:val="000000"/>
        </w:rPr>
        <w:t>.000</w:t>
      </w:r>
      <w:r w:rsidR="009012CC" w:rsidRPr="00332126">
        <w:rPr>
          <w:rFonts w:cs="Arial"/>
          <w:color w:val="000000"/>
        </w:rPr>
        <w:t xml:space="preserve"> </w:t>
      </w:r>
      <w:r w:rsidR="009E4E92">
        <w:rPr>
          <w:rFonts w:cs="Arial"/>
          <w:color w:val="000000"/>
        </w:rPr>
        <w:t>Besuchern</w:t>
      </w:r>
      <w:r w:rsidR="009012CC" w:rsidRPr="00332126">
        <w:rPr>
          <w:rFonts w:cs="Arial"/>
          <w:color w:val="000000"/>
        </w:rPr>
        <w:t xml:space="preserve"> zu rechnen. </w:t>
      </w:r>
    </w:p>
    <w:p w:rsidR="00C204B7" w:rsidRPr="00332126" w:rsidRDefault="00C204B7" w:rsidP="009012CC">
      <w:pPr>
        <w:tabs>
          <w:tab w:val="left" w:pos="0"/>
          <w:tab w:val="left" w:pos="1985"/>
          <w:tab w:val="left" w:pos="4536"/>
          <w:tab w:val="right" w:pos="8505"/>
        </w:tabs>
        <w:rPr>
          <w:rFonts w:cs="Arial"/>
          <w:color w:val="000000"/>
        </w:rPr>
      </w:pPr>
    </w:p>
    <w:p w:rsidR="009012CC" w:rsidRPr="00132EFE" w:rsidRDefault="009012CC" w:rsidP="009012CC">
      <w:pPr>
        <w:tabs>
          <w:tab w:val="left" w:pos="1985"/>
          <w:tab w:val="left" w:pos="4536"/>
          <w:tab w:val="right" w:pos="8505"/>
        </w:tabs>
        <w:rPr>
          <w:rFonts w:cs="Arial"/>
        </w:rPr>
      </w:pPr>
      <w:r w:rsidRPr="00132EFE">
        <w:rPr>
          <w:rFonts w:cs="Arial"/>
        </w:rPr>
        <w:t xml:space="preserve">Zu leisten ist ein „Service aus einer Hand“. Dieser umfasst insbesondere die Koordination der beteiligten Behörden und Stellen sowie eine Bündelung der unterschiedlichen Aufgaben und Maßnahmen sowohl gegenüber der </w:t>
      </w:r>
      <w:r w:rsidR="009E4E92">
        <w:rPr>
          <w:rFonts w:cs="Arial"/>
          <w:iCs/>
          <w:color w:val="000000"/>
        </w:rPr>
        <w:t xml:space="preserve">Stiftung Creative Kirche und der zuständigen Landeskirche </w:t>
      </w:r>
      <w:r w:rsidRPr="00132EFE">
        <w:rPr>
          <w:rFonts w:cs="Arial"/>
        </w:rPr>
        <w:t xml:space="preserve">als auch aller anderen Beteiligten. </w:t>
      </w:r>
    </w:p>
    <w:p w:rsidR="009012CC" w:rsidRDefault="009012CC" w:rsidP="009012CC">
      <w:pPr>
        <w:rPr>
          <w:rFonts w:cs="Arial"/>
        </w:rPr>
      </w:pPr>
      <w:r w:rsidRPr="00132EFE">
        <w:rPr>
          <w:rFonts w:cs="Arial"/>
        </w:rPr>
        <w:lastRenderedPageBreak/>
        <w:t xml:space="preserve">Dabei ergeben sich bereits in der frühen Phase der Planung </w:t>
      </w:r>
      <w:r w:rsidR="009E4E92">
        <w:rPr>
          <w:rFonts w:cs="Arial"/>
        </w:rPr>
        <w:t>eines</w:t>
      </w:r>
      <w:r w:rsidRPr="00132EFE">
        <w:rPr>
          <w:rFonts w:cs="Arial"/>
        </w:rPr>
        <w:t xml:space="preserve"> Großereignisses eine Vielzahl von Fragen und Problemen, die</w:t>
      </w:r>
      <w:r>
        <w:rPr>
          <w:rFonts w:cs="Arial"/>
        </w:rPr>
        <w:t xml:space="preserve"> für</w:t>
      </w:r>
      <w:r w:rsidRPr="00132EFE">
        <w:rPr>
          <w:rFonts w:cs="Arial"/>
        </w:rPr>
        <w:t xml:space="preserve"> verschiedene Referate und Ämter sowie Belange der Polizei und der anderen für die Sicherheit verantwortliche</w:t>
      </w:r>
      <w:r>
        <w:rPr>
          <w:rFonts w:cs="Arial"/>
        </w:rPr>
        <w:t>n Stellen relevant sind.</w:t>
      </w:r>
    </w:p>
    <w:p w:rsidR="00C204B7" w:rsidRDefault="00C204B7" w:rsidP="009012CC">
      <w:pPr>
        <w:rPr>
          <w:rFonts w:cs="Arial"/>
        </w:rPr>
      </w:pPr>
    </w:p>
    <w:p w:rsidR="00C204B7" w:rsidRDefault="00C204B7" w:rsidP="009012CC">
      <w:pPr>
        <w:rPr>
          <w:rFonts w:cs="Arial"/>
        </w:rPr>
      </w:pPr>
      <w:r>
        <w:rPr>
          <w:rFonts w:cs="Arial"/>
        </w:rPr>
        <w:t xml:space="preserve">Die </w:t>
      </w:r>
      <w:r w:rsidRPr="00332126">
        <w:rPr>
          <w:rFonts w:cs="Arial"/>
          <w:iCs/>
          <w:color w:val="000000"/>
        </w:rPr>
        <w:t>innerstädtische Koordinierung</w:t>
      </w:r>
      <w:r>
        <w:rPr>
          <w:rFonts w:cs="Arial"/>
          <w:iCs/>
          <w:color w:val="000000"/>
        </w:rPr>
        <w:t xml:space="preserve"> des Gospelkirchentags</w:t>
      </w:r>
      <w:r w:rsidRPr="00332126">
        <w:rPr>
          <w:rFonts w:cs="Arial"/>
          <w:iCs/>
          <w:color w:val="000000"/>
        </w:rPr>
        <w:t xml:space="preserve">, die Einbindung externer Behörden, Einrichtungen und Beteiligter sowie die zentrale Kommunikation mit der </w:t>
      </w:r>
      <w:r>
        <w:rPr>
          <w:rFonts w:cs="Arial"/>
          <w:iCs/>
          <w:color w:val="000000"/>
        </w:rPr>
        <w:t>Stiftung Creative Kirche in Verbindung mit der Landeskirche soll daher</w:t>
      </w:r>
      <w:r w:rsidRPr="00332126">
        <w:rPr>
          <w:rFonts w:cs="Arial"/>
          <w:iCs/>
          <w:color w:val="000000"/>
        </w:rPr>
        <w:t>, wie bereits</w:t>
      </w:r>
      <w:r>
        <w:rPr>
          <w:rFonts w:cs="Arial"/>
          <w:iCs/>
          <w:color w:val="000000"/>
        </w:rPr>
        <w:t xml:space="preserve"> beim Evangelischen Kirchentag 2015 und beim Katholikentag 2022</w:t>
      </w:r>
      <w:r w:rsidRPr="00332126">
        <w:rPr>
          <w:rFonts w:cs="Arial"/>
          <w:iCs/>
          <w:color w:val="000000"/>
        </w:rPr>
        <w:t>, dem Amt für öffentliche Ordnung übertragen</w:t>
      </w:r>
      <w:r>
        <w:rPr>
          <w:rFonts w:cs="Arial"/>
          <w:iCs/>
          <w:color w:val="000000"/>
        </w:rPr>
        <w:t xml:space="preserve"> werden</w:t>
      </w:r>
      <w:r w:rsidRPr="00332126">
        <w:rPr>
          <w:rFonts w:cs="Arial"/>
          <w:iCs/>
          <w:color w:val="000000"/>
        </w:rPr>
        <w:t xml:space="preserve">. </w:t>
      </w:r>
    </w:p>
    <w:p w:rsidR="009735D7" w:rsidRPr="00D67377" w:rsidRDefault="009735D7" w:rsidP="009735D7">
      <w:pPr>
        <w:rPr>
          <w:rFonts w:cs="Arial"/>
          <w:iCs/>
          <w:color w:val="4F81BD" w:themeColor="accent1"/>
        </w:rPr>
      </w:pPr>
    </w:p>
    <w:p w:rsidR="009735D7" w:rsidRDefault="009735D7" w:rsidP="009735D7">
      <w:pPr>
        <w:rPr>
          <w:rFonts w:cs="Arial"/>
        </w:rPr>
      </w:pPr>
      <w:r>
        <w:rPr>
          <w:rFonts w:cs="Arial"/>
        </w:rPr>
        <w:t>Zusätzlich erhöht sich durch den Gospelkirchentag die Arbeitslast im Bereich der Gefahrenabwehr:</w:t>
      </w:r>
    </w:p>
    <w:p w:rsidR="009735D7" w:rsidRDefault="009735D7" w:rsidP="009735D7">
      <w:pPr>
        <w:rPr>
          <w:rFonts w:cs="Arial"/>
        </w:rPr>
      </w:pPr>
    </w:p>
    <w:p w:rsidR="009735D7" w:rsidRDefault="009735D7" w:rsidP="009735D7">
      <w:pPr>
        <w:rPr>
          <w:rFonts w:cs="Arial"/>
        </w:rPr>
      </w:pPr>
      <w:r w:rsidRPr="003E472B">
        <w:rPr>
          <w:rFonts w:cs="Arial"/>
        </w:rPr>
        <w:t xml:space="preserve">Gemäß der Dienstanweisung über die Grundsätze der Gefahrenabwehr in außergewöhnlichen Ereignissen und Katastrophen vom 28. Dezember 2005 obliegt der Landeshauptstadt Stuttgart als untere Katastrophenschutzbehörde unter anderem die Aufgabe, die Bekämpfung von Großschadensereignissen und Katastrophen vorzubereiten. Zuständige Katastrophenschutzbehörde ist die Branddirektion, die nicht nur in diesem Bereich sehr eng mit der Ortspolizeibehörde (Amt für öffentliche Ordnung) zusammenarbeitet. </w:t>
      </w:r>
    </w:p>
    <w:p w:rsidR="009735D7" w:rsidRDefault="009735D7" w:rsidP="009735D7">
      <w:pPr>
        <w:rPr>
          <w:rFonts w:cs="Arial"/>
        </w:rPr>
      </w:pPr>
      <w:r w:rsidRPr="003E472B">
        <w:rPr>
          <w:rFonts w:cs="Arial"/>
        </w:rPr>
        <w:t xml:space="preserve">Für die Erarbeitung und Weiterführung von spezifischen Gefahrenabwehrplänen sind die jeweils fachlich zuständigen Organisationseinheiten und Fachämter der Stadtverwaltung verantwortlich. Für das Amt für öffentliche Ordnung obliegt diese Aufgabe der </w:t>
      </w:r>
      <w:r w:rsidRPr="00060A14">
        <w:rPr>
          <w:rFonts w:cs="Arial"/>
        </w:rPr>
        <w:t xml:space="preserve">Dienststelle 32-21 als Ortspolizeibehörde. </w:t>
      </w:r>
    </w:p>
    <w:p w:rsidR="009735D7" w:rsidRPr="00332126" w:rsidRDefault="009735D7" w:rsidP="009735D7">
      <w:pPr>
        <w:rPr>
          <w:rFonts w:cs="Arial"/>
        </w:rPr>
      </w:pPr>
      <w:r w:rsidRPr="00332126">
        <w:rPr>
          <w:rFonts w:cs="Arial"/>
          <w:iCs/>
          <w:color w:val="000000"/>
        </w:rPr>
        <w:t>Für diese zeitlich befristete</w:t>
      </w:r>
      <w:r>
        <w:rPr>
          <w:rFonts w:cs="Arial"/>
          <w:iCs/>
          <w:color w:val="000000"/>
        </w:rPr>
        <w:t>n</w:t>
      </w:r>
      <w:r w:rsidRPr="00332126">
        <w:rPr>
          <w:rFonts w:cs="Arial"/>
          <w:iCs/>
          <w:color w:val="000000"/>
        </w:rPr>
        <w:t xml:space="preserve"> zusätzliche</w:t>
      </w:r>
      <w:r>
        <w:rPr>
          <w:rFonts w:cs="Arial"/>
          <w:iCs/>
          <w:color w:val="000000"/>
        </w:rPr>
        <w:t>n</w:t>
      </w:r>
      <w:r w:rsidRPr="00332126">
        <w:rPr>
          <w:rFonts w:cs="Arial"/>
          <w:iCs/>
          <w:color w:val="000000"/>
        </w:rPr>
        <w:t xml:space="preserve"> Aufgabe</w:t>
      </w:r>
      <w:r>
        <w:rPr>
          <w:rFonts w:cs="Arial"/>
          <w:iCs/>
          <w:color w:val="000000"/>
        </w:rPr>
        <w:t>n</w:t>
      </w:r>
      <w:r w:rsidRPr="00332126">
        <w:rPr>
          <w:rFonts w:cs="Arial"/>
          <w:iCs/>
          <w:color w:val="000000"/>
        </w:rPr>
        <w:t xml:space="preserve"> entsteht beim Amt für öffentliche Ordnung ab </w:t>
      </w:r>
      <w:r w:rsidRPr="00372965">
        <w:rPr>
          <w:rFonts w:cs="Arial"/>
          <w:iCs/>
          <w:color w:val="000000"/>
        </w:rPr>
        <w:t>Beginn 2025</w:t>
      </w:r>
      <w:r w:rsidRPr="00332126">
        <w:rPr>
          <w:rFonts w:cs="Arial"/>
          <w:iCs/>
          <w:color w:val="000000"/>
        </w:rPr>
        <w:t xml:space="preserve"> ein Stellenmehrbedarf im Umfang von </w:t>
      </w:r>
      <w:r w:rsidR="000E58A8">
        <w:rPr>
          <w:rFonts w:cs="Arial"/>
          <w:iCs/>
          <w:color w:val="000000"/>
        </w:rPr>
        <w:t>1,0</w:t>
      </w:r>
      <w:r w:rsidRPr="00332126">
        <w:rPr>
          <w:rFonts w:cs="Arial"/>
          <w:iCs/>
          <w:color w:val="000000"/>
        </w:rPr>
        <w:t xml:space="preserve"> Stelle für die Dauer von </w:t>
      </w:r>
      <w:r>
        <w:rPr>
          <w:rFonts w:cs="Arial"/>
          <w:iCs/>
          <w:color w:val="000000"/>
        </w:rPr>
        <w:t>2</w:t>
      </w:r>
      <w:r w:rsidRPr="00332126">
        <w:rPr>
          <w:rFonts w:cs="Arial"/>
          <w:iCs/>
          <w:color w:val="000000"/>
        </w:rPr>
        <w:t xml:space="preserve"> Jahren.</w:t>
      </w:r>
    </w:p>
    <w:p w:rsidR="009735D7" w:rsidRDefault="009735D7" w:rsidP="009735D7">
      <w:pPr>
        <w:rPr>
          <w:rFonts w:cs="Arial"/>
        </w:rPr>
      </w:pPr>
    </w:p>
    <w:p w:rsidR="009012CC" w:rsidRPr="00165C0D" w:rsidRDefault="009012CC" w:rsidP="009012CC">
      <w:pPr>
        <w:pStyle w:val="berschrift2"/>
      </w:pPr>
      <w:r w:rsidRPr="00165C0D">
        <w:t>3.2</w:t>
      </w:r>
      <w:r w:rsidRPr="00165C0D">
        <w:tab/>
        <w:t>Bisherige Aufgabenwahrnehmung</w:t>
      </w:r>
    </w:p>
    <w:p w:rsidR="009012CC" w:rsidRDefault="009012CC" w:rsidP="009012CC"/>
    <w:p w:rsidR="009012CC" w:rsidRPr="00132EFE" w:rsidRDefault="009012CC" w:rsidP="009012CC">
      <w:pPr>
        <w:tabs>
          <w:tab w:val="left" w:pos="0"/>
          <w:tab w:val="left" w:pos="1985"/>
          <w:tab w:val="left" w:pos="4536"/>
          <w:tab w:val="right" w:pos="8505"/>
        </w:tabs>
        <w:rPr>
          <w:rFonts w:cs="Arial"/>
        </w:rPr>
      </w:pPr>
      <w:r w:rsidRPr="00132EFE">
        <w:rPr>
          <w:rFonts w:cs="Arial"/>
        </w:rPr>
        <w:t>Bereits jetzt können laufende Veranstaltungen oft nur dadurch bearbeitet werden, dass die Mitarbeite</w:t>
      </w:r>
      <w:r w:rsidR="0086325C">
        <w:rPr>
          <w:rFonts w:cs="Arial"/>
        </w:rPr>
        <w:t>nden</w:t>
      </w:r>
      <w:r w:rsidRPr="00132EFE">
        <w:rPr>
          <w:rFonts w:cs="Arial"/>
        </w:rPr>
        <w:t xml:space="preserve"> des Bereichs Veranstaltungen Belastungsspitzen durch </w:t>
      </w:r>
      <w:r>
        <w:rPr>
          <w:rFonts w:cs="Arial"/>
        </w:rPr>
        <w:t xml:space="preserve">Überstunden abfangen und </w:t>
      </w:r>
      <w:r w:rsidRPr="00132EFE">
        <w:rPr>
          <w:rFonts w:cs="Arial"/>
        </w:rPr>
        <w:t>dass weitere Sachbearbeiter</w:t>
      </w:r>
      <w:r w:rsidR="000E58A8">
        <w:rPr>
          <w:rFonts w:cs="Arial"/>
        </w:rPr>
        <w:t>/-</w:t>
      </w:r>
      <w:r w:rsidR="0086325C">
        <w:rPr>
          <w:rFonts w:cs="Arial"/>
        </w:rPr>
        <w:t>innen</w:t>
      </w:r>
      <w:r w:rsidRPr="00132EFE">
        <w:rPr>
          <w:rFonts w:cs="Arial"/>
        </w:rPr>
        <w:t xml:space="preserve"> einschließlich de</w:t>
      </w:r>
      <w:r w:rsidR="0086325C">
        <w:rPr>
          <w:rFonts w:cs="Arial"/>
        </w:rPr>
        <w:t>r</w:t>
      </w:r>
      <w:r w:rsidRPr="00132EFE">
        <w:rPr>
          <w:rFonts w:cs="Arial"/>
        </w:rPr>
        <w:t xml:space="preserve"> Sachgebietsleit</w:t>
      </w:r>
      <w:r w:rsidR="0086325C">
        <w:rPr>
          <w:rFonts w:cs="Arial"/>
        </w:rPr>
        <w:t>ung</w:t>
      </w:r>
      <w:r w:rsidRPr="00132EFE">
        <w:rPr>
          <w:rFonts w:cs="Arial"/>
        </w:rPr>
        <w:t xml:space="preserve"> in die Bearbeitung einbezogen </w:t>
      </w:r>
      <w:r>
        <w:rPr>
          <w:rFonts w:cs="Arial"/>
        </w:rPr>
        <w:t xml:space="preserve">werden, wobei </w:t>
      </w:r>
      <w:r w:rsidRPr="00132EFE">
        <w:rPr>
          <w:rFonts w:cs="Arial"/>
        </w:rPr>
        <w:t>andere, gleichwertige Aufgaben in der Erledigung zurückgestellt werden</w:t>
      </w:r>
      <w:r>
        <w:rPr>
          <w:rFonts w:cs="Arial"/>
        </w:rPr>
        <w:t xml:space="preserve"> müssen</w:t>
      </w:r>
      <w:r w:rsidRPr="00132EFE">
        <w:rPr>
          <w:rFonts w:cs="Arial"/>
        </w:rPr>
        <w:t xml:space="preserve">. Qualitativ und quantitativ erfolgt so wegen ihrer unmittelbaren Außenwirkung und Termingebundenheit eine Priorisierung von Veranstaltungen, die zu Lasten von anderen Aufgaben geht. </w:t>
      </w:r>
    </w:p>
    <w:p w:rsidR="009012CC" w:rsidRDefault="009012CC" w:rsidP="009012CC">
      <w:pPr>
        <w:tabs>
          <w:tab w:val="left" w:pos="567"/>
          <w:tab w:val="left" w:pos="1985"/>
          <w:tab w:val="left" w:pos="4536"/>
          <w:tab w:val="right" w:pos="8505"/>
        </w:tabs>
        <w:ind w:left="357" w:hanging="357"/>
        <w:rPr>
          <w:b/>
        </w:rPr>
      </w:pPr>
    </w:p>
    <w:p w:rsidR="009012CC" w:rsidRDefault="009012CC" w:rsidP="009012CC">
      <w:pPr>
        <w:pStyle w:val="berschrift2"/>
      </w:pPr>
      <w:r>
        <w:t>3.3</w:t>
      </w:r>
      <w:r>
        <w:tab/>
        <w:t>Auswirkungen bei Ablehnung der Stellenschaffungen</w:t>
      </w:r>
    </w:p>
    <w:p w:rsidR="009012CC" w:rsidRDefault="009012CC" w:rsidP="009012CC"/>
    <w:p w:rsidR="009012CC" w:rsidRPr="00132EFE" w:rsidRDefault="0086325C" w:rsidP="009012CC">
      <w:pPr>
        <w:rPr>
          <w:rFonts w:cs="Arial"/>
        </w:rPr>
      </w:pPr>
      <w:r>
        <w:rPr>
          <w:rFonts w:cs="Arial"/>
        </w:rPr>
        <w:t>Die Durchführung des Gospelkirchentags mit e</w:t>
      </w:r>
      <w:r w:rsidR="009012CC" w:rsidRPr="00132EFE">
        <w:rPr>
          <w:rFonts w:cs="Arial"/>
        </w:rPr>
        <w:t>ine</w:t>
      </w:r>
      <w:r>
        <w:rPr>
          <w:rFonts w:cs="Arial"/>
        </w:rPr>
        <w:t>r</w:t>
      </w:r>
      <w:r w:rsidR="009012CC" w:rsidRPr="00132EFE">
        <w:rPr>
          <w:rFonts w:cs="Arial"/>
        </w:rPr>
        <w:t xml:space="preserve"> sachgerechte</w:t>
      </w:r>
      <w:r>
        <w:rPr>
          <w:rFonts w:cs="Arial"/>
        </w:rPr>
        <w:t>n</w:t>
      </w:r>
      <w:r w:rsidR="009012CC" w:rsidRPr="00132EFE">
        <w:rPr>
          <w:rFonts w:cs="Arial"/>
        </w:rPr>
        <w:t xml:space="preserve"> Aufgabenerledigung ist ohne eine zusätzliche Stelle nicht möglich</w:t>
      </w:r>
      <w:r w:rsidR="009735D7">
        <w:rPr>
          <w:rFonts w:cs="Arial"/>
        </w:rPr>
        <w:t>.</w:t>
      </w:r>
    </w:p>
    <w:p w:rsidR="009012CC" w:rsidRDefault="009012CC" w:rsidP="009012CC">
      <w:pPr>
        <w:pStyle w:val="berschrift1"/>
      </w:pPr>
      <w:r>
        <w:t>4</w:t>
      </w:r>
      <w:r>
        <w:tab/>
        <w:t>Stellenvermerke</w:t>
      </w:r>
    </w:p>
    <w:p w:rsidR="009012CC" w:rsidRDefault="009012CC" w:rsidP="009012CC"/>
    <w:p w:rsidR="003D7B0B" w:rsidRDefault="00C204B7" w:rsidP="009735D7">
      <w:pPr>
        <w:tabs>
          <w:tab w:val="left" w:pos="567"/>
          <w:tab w:val="left" w:pos="1985"/>
          <w:tab w:val="left" w:pos="4536"/>
          <w:tab w:val="right" w:pos="9073"/>
        </w:tabs>
      </w:pPr>
      <w:r>
        <w:t xml:space="preserve">KW </w:t>
      </w:r>
      <w:r w:rsidR="009012CC" w:rsidRPr="00372965">
        <w:t>01/202</w:t>
      </w:r>
      <w:r w:rsidR="00DA2FDC" w:rsidRPr="00372965">
        <w:t>7</w:t>
      </w:r>
    </w:p>
    <w:sectPr w:rsidR="003D7B0B"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FBB" w:rsidRDefault="00951FBB">
      <w:r>
        <w:separator/>
      </w:r>
    </w:p>
  </w:endnote>
  <w:endnote w:type="continuationSeparator" w:id="0">
    <w:p w:rsidR="00951FBB" w:rsidRDefault="0095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FBB" w:rsidRDefault="00951FBB">
      <w:r>
        <w:separator/>
      </w:r>
    </w:p>
  </w:footnote>
  <w:footnote w:type="continuationSeparator" w:id="0">
    <w:p w:rsidR="00951FBB" w:rsidRDefault="00951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977B63">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27ED7"/>
    <w:multiLevelType w:val="hybridMultilevel"/>
    <w:tmpl w:val="D9424A84"/>
    <w:lvl w:ilvl="0" w:tplc="9EDA84BE">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3"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3"/>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ctiveWritingStyle w:appName="MSWord" w:lang="de-DE"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AE0"/>
    <w:rsid w:val="00027327"/>
    <w:rsid w:val="00055758"/>
    <w:rsid w:val="000A1146"/>
    <w:rsid w:val="000E58A8"/>
    <w:rsid w:val="000F49C9"/>
    <w:rsid w:val="001034AF"/>
    <w:rsid w:val="0011112B"/>
    <w:rsid w:val="0014415D"/>
    <w:rsid w:val="00151488"/>
    <w:rsid w:val="00163034"/>
    <w:rsid w:val="00164678"/>
    <w:rsid w:val="00165C0D"/>
    <w:rsid w:val="00181857"/>
    <w:rsid w:val="00184EDC"/>
    <w:rsid w:val="00194770"/>
    <w:rsid w:val="001A5F9B"/>
    <w:rsid w:val="001F7237"/>
    <w:rsid w:val="002924CB"/>
    <w:rsid w:val="002A20D1"/>
    <w:rsid w:val="002A245B"/>
    <w:rsid w:val="002A4DE3"/>
    <w:rsid w:val="002B5955"/>
    <w:rsid w:val="0030686C"/>
    <w:rsid w:val="00372965"/>
    <w:rsid w:val="00380937"/>
    <w:rsid w:val="00397717"/>
    <w:rsid w:val="003C705D"/>
    <w:rsid w:val="003D7B0B"/>
    <w:rsid w:val="003F0FAA"/>
    <w:rsid w:val="00417C69"/>
    <w:rsid w:val="00470135"/>
    <w:rsid w:val="0047606A"/>
    <w:rsid w:val="004908B5"/>
    <w:rsid w:val="0049121B"/>
    <w:rsid w:val="004A1688"/>
    <w:rsid w:val="004A7A82"/>
    <w:rsid w:val="004B6796"/>
    <w:rsid w:val="004D47F5"/>
    <w:rsid w:val="004E292E"/>
    <w:rsid w:val="00500A73"/>
    <w:rsid w:val="005A0A9D"/>
    <w:rsid w:val="005A56AA"/>
    <w:rsid w:val="005C3168"/>
    <w:rsid w:val="005E19C6"/>
    <w:rsid w:val="005E2183"/>
    <w:rsid w:val="005E7D8F"/>
    <w:rsid w:val="005E7F26"/>
    <w:rsid w:val="005F5B3D"/>
    <w:rsid w:val="00606F80"/>
    <w:rsid w:val="0061425F"/>
    <w:rsid w:val="00622CC7"/>
    <w:rsid w:val="00694A78"/>
    <w:rsid w:val="006A406B"/>
    <w:rsid w:val="006B6D50"/>
    <w:rsid w:val="006D0251"/>
    <w:rsid w:val="006E0575"/>
    <w:rsid w:val="0072799A"/>
    <w:rsid w:val="007443FD"/>
    <w:rsid w:val="00754659"/>
    <w:rsid w:val="00783AE0"/>
    <w:rsid w:val="007E3B79"/>
    <w:rsid w:val="008020A7"/>
    <w:rsid w:val="00802674"/>
    <w:rsid w:val="008066EE"/>
    <w:rsid w:val="00817BB6"/>
    <w:rsid w:val="008338E6"/>
    <w:rsid w:val="0086325C"/>
    <w:rsid w:val="00884D6C"/>
    <w:rsid w:val="00894A43"/>
    <w:rsid w:val="009012CC"/>
    <w:rsid w:val="00920F00"/>
    <w:rsid w:val="009373F6"/>
    <w:rsid w:val="00951FBB"/>
    <w:rsid w:val="00961A34"/>
    <w:rsid w:val="00972B80"/>
    <w:rsid w:val="009735D7"/>
    <w:rsid w:val="00976588"/>
    <w:rsid w:val="00977B63"/>
    <w:rsid w:val="009E4E92"/>
    <w:rsid w:val="00A00B65"/>
    <w:rsid w:val="00A23BC9"/>
    <w:rsid w:val="00A27CA7"/>
    <w:rsid w:val="00A32E42"/>
    <w:rsid w:val="00A71D0A"/>
    <w:rsid w:val="00A77F1E"/>
    <w:rsid w:val="00A847C4"/>
    <w:rsid w:val="00A927DD"/>
    <w:rsid w:val="00AB389D"/>
    <w:rsid w:val="00AF0CCB"/>
    <w:rsid w:val="00AF0DEA"/>
    <w:rsid w:val="00AF25E0"/>
    <w:rsid w:val="00B01129"/>
    <w:rsid w:val="00B04290"/>
    <w:rsid w:val="00B4156D"/>
    <w:rsid w:val="00B80DEF"/>
    <w:rsid w:val="00B81099"/>
    <w:rsid w:val="00B86BB5"/>
    <w:rsid w:val="00B91903"/>
    <w:rsid w:val="00BC4669"/>
    <w:rsid w:val="00C05BBC"/>
    <w:rsid w:val="00C12ADC"/>
    <w:rsid w:val="00C16EF1"/>
    <w:rsid w:val="00C204B7"/>
    <w:rsid w:val="00C448D3"/>
    <w:rsid w:val="00C954F3"/>
    <w:rsid w:val="00CE57E6"/>
    <w:rsid w:val="00CF0BE9"/>
    <w:rsid w:val="00CF40A7"/>
    <w:rsid w:val="00CF62E5"/>
    <w:rsid w:val="00D15522"/>
    <w:rsid w:val="00D66D3A"/>
    <w:rsid w:val="00D743D4"/>
    <w:rsid w:val="00DA2FDC"/>
    <w:rsid w:val="00DB3D6C"/>
    <w:rsid w:val="00DB6C9C"/>
    <w:rsid w:val="00DB71B6"/>
    <w:rsid w:val="00DE362D"/>
    <w:rsid w:val="00E014B6"/>
    <w:rsid w:val="00E1162F"/>
    <w:rsid w:val="00E11D5F"/>
    <w:rsid w:val="00E20E1F"/>
    <w:rsid w:val="00E42F96"/>
    <w:rsid w:val="00E7118F"/>
    <w:rsid w:val="00ED62A7"/>
    <w:rsid w:val="00F13EC7"/>
    <w:rsid w:val="00F27657"/>
    <w:rsid w:val="00F342DC"/>
    <w:rsid w:val="00F56F93"/>
    <w:rsid w:val="00F63041"/>
    <w:rsid w:val="00F76452"/>
    <w:rsid w:val="00FB31DB"/>
    <w:rsid w:val="00FD6B46"/>
    <w:rsid w:val="00FF71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BA6D8"/>
  <w15:docId w15:val="{8B7A51D2-0A82-43BA-9FBA-12A27EA2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link w:val="berschrift1Zchn"/>
    <w:qFormat/>
    <w:rsid w:val="00DB3D6C"/>
    <w:pPr>
      <w:keepNext/>
      <w:spacing w:before="480"/>
      <w:ind w:left="284" w:hanging="284"/>
      <w:outlineLvl w:val="0"/>
    </w:pPr>
    <w:rPr>
      <w:b/>
      <w:u w:val="single"/>
    </w:rPr>
  </w:style>
  <w:style w:type="paragraph" w:styleId="berschrift2">
    <w:name w:val="heading 2"/>
    <w:basedOn w:val="Standard"/>
    <w:next w:val="Standard"/>
    <w:link w:val="berschrift2Zchn"/>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character" w:customStyle="1" w:styleId="berschrift1Zchn">
    <w:name w:val="Überschrift 1 Zchn"/>
    <w:basedOn w:val="Absatz-Standardschriftart"/>
    <w:link w:val="berschrift1"/>
    <w:rsid w:val="009012CC"/>
    <w:rPr>
      <w:b/>
      <w:u w:val="single"/>
    </w:rPr>
  </w:style>
  <w:style w:type="character" w:customStyle="1" w:styleId="berschrift2Zchn">
    <w:name w:val="Überschrift 2 Zchn"/>
    <w:basedOn w:val="Absatz-Standardschriftart"/>
    <w:link w:val="berschrift2"/>
    <w:rsid w:val="009012C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D44FC-3C0A-49BB-85BA-7AE1AB17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3730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2020/2021</dc:subject>
  <dc:creator>u32e011</dc:creator>
  <cp:lastModifiedBy>Baumann, Gerhard</cp:lastModifiedBy>
  <cp:revision>4</cp:revision>
  <cp:lastPrinted>2023-09-27T12:52:00Z</cp:lastPrinted>
  <dcterms:created xsi:type="dcterms:W3CDTF">2023-09-07T06:26:00Z</dcterms:created>
  <dcterms:modified xsi:type="dcterms:W3CDTF">2023-09-27T12:52:00Z</dcterms:modified>
</cp:coreProperties>
</file>