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F45D0">
        <w:t>5</w:t>
      </w:r>
      <w:r w:rsidR="00CE6FE0">
        <w:t>1</w:t>
      </w:r>
      <w:r w:rsidRPr="006E0575">
        <w:t xml:space="preserve"> zur GRDrs</w:t>
      </w:r>
      <w:r w:rsidR="00573C29">
        <w:t>.</w:t>
      </w:r>
      <w:r w:rsidRPr="006E0575">
        <w:t xml:space="preserve"> </w:t>
      </w:r>
      <w:r w:rsidR="00573C29">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726F">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F4750" w:rsidP="0030686C">
            <w:pPr>
              <w:rPr>
                <w:sz w:val="20"/>
              </w:rPr>
            </w:pPr>
            <w:r>
              <w:rPr>
                <w:sz w:val="20"/>
              </w:rPr>
              <w:t>52-</w:t>
            </w:r>
            <w:r w:rsidR="00344DBC">
              <w:rPr>
                <w:sz w:val="20"/>
              </w:rPr>
              <w:t>4</w:t>
            </w:r>
            <w:r w:rsidR="0016551D">
              <w:rPr>
                <w:sz w:val="20"/>
              </w:rPr>
              <w:t>3</w:t>
            </w:r>
          </w:p>
          <w:p w:rsidR="0011112B" w:rsidRDefault="0011112B" w:rsidP="0030686C">
            <w:pPr>
              <w:rPr>
                <w:sz w:val="20"/>
              </w:rPr>
            </w:pPr>
          </w:p>
          <w:p w:rsidR="0011112B" w:rsidRPr="00573C29" w:rsidRDefault="00613507" w:rsidP="0030686C">
            <w:pPr>
              <w:rPr>
                <w:sz w:val="20"/>
              </w:rPr>
            </w:pPr>
            <w:r w:rsidRPr="00573C29">
              <w:rPr>
                <w:sz w:val="20"/>
              </w:rPr>
              <w:t>52</w:t>
            </w:r>
            <w:r w:rsidR="00344DBC" w:rsidRPr="00573C29">
              <w:rPr>
                <w:sz w:val="20"/>
              </w:rPr>
              <w:t>4</w:t>
            </w:r>
            <w:r w:rsidR="0016551D" w:rsidRPr="00573C29">
              <w:rPr>
                <w:sz w:val="20"/>
              </w:rPr>
              <w:t>3</w:t>
            </w:r>
            <w:r w:rsidR="00573C29" w:rsidRPr="00573C29">
              <w:rPr>
                <w:sz w:val="20"/>
              </w:rPr>
              <w:t xml:space="preserve"> </w:t>
            </w:r>
            <w:r w:rsidR="0016551D" w:rsidRPr="00573C29">
              <w:rPr>
                <w:sz w:val="20"/>
              </w:rPr>
              <w:t>2</w:t>
            </w:r>
            <w:r w:rsidRPr="00573C29">
              <w:rPr>
                <w:sz w:val="20"/>
              </w:rPr>
              <w:t>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F4750" w:rsidP="0030686C">
            <w:pPr>
              <w:rPr>
                <w:sz w:val="20"/>
              </w:rPr>
            </w:pPr>
            <w:r>
              <w:rPr>
                <w:sz w:val="20"/>
              </w:rPr>
              <w:t>Amt für Sport und Bewegung</w:t>
            </w:r>
          </w:p>
        </w:tc>
        <w:tc>
          <w:tcPr>
            <w:tcW w:w="851" w:type="dxa"/>
          </w:tcPr>
          <w:p w:rsidR="005F5B3D" w:rsidRDefault="005F5B3D" w:rsidP="0030686C">
            <w:pPr>
              <w:rPr>
                <w:sz w:val="20"/>
              </w:rPr>
            </w:pPr>
          </w:p>
          <w:p w:rsidR="002F4750" w:rsidRPr="006E0575" w:rsidRDefault="00344DBC" w:rsidP="002F4750">
            <w:pPr>
              <w:rPr>
                <w:sz w:val="20"/>
              </w:rPr>
            </w:pPr>
            <w:r>
              <w:rPr>
                <w:sz w:val="20"/>
              </w:rPr>
              <w:t xml:space="preserve">EG </w:t>
            </w:r>
            <w:r w:rsidR="0016551D">
              <w:rPr>
                <w:sz w:val="20"/>
              </w:rPr>
              <w:t>1</w:t>
            </w:r>
            <w:r w:rsidR="000B67F4">
              <w:rPr>
                <w:sz w:val="20"/>
              </w:rPr>
              <w:t>1</w:t>
            </w:r>
            <w:r w:rsidR="002F4750">
              <w:rPr>
                <w:sz w:val="20"/>
              </w:rPr>
              <w:t xml:space="preserve"> </w:t>
            </w:r>
          </w:p>
          <w:p w:rsidR="002F4750" w:rsidRPr="006E0575" w:rsidRDefault="002F4750" w:rsidP="0030686C">
            <w:pPr>
              <w:rPr>
                <w:sz w:val="20"/>
              </w:rPr>
            </w:pPr>
          </w:p>
        </w:tc>
        <w:tc>
          <w:tcPr>
            <w:tcW w:w="1701" w:type="dxa"/>
          </w:tcPr>
          <w:p w:rsidR="005F5B3D" w:rsidRDefault="005F5B3D" w:rsidP="0030686C">
            <w:pPr>
              <w:rPr>
                <w:sz w:val="20"/>
              </w:rPr>
            </w:pPr>
          </w:p>
          <w:p w:rsidR="00DE65A0" w:rsidRPr="006E0575" w:rsidRDefault="00573C29" w:rsidP="000B67F4">
            <w:pPr>
              <w:rPr>
                <w:sz w:val="20"/>
              </w:rPr>
            </w:pPr>
            <w:r>
              <w:rPr>
                <w:sz w:val="20"/>
              </w:rPr>
              <w:t>Ingenieur/-in</w:t>
            </w:r>
          </w:p>
        </w:tc>
        <w:tc>
          <w:tcPr>
            <w:tcW w:w="851" w:type="dxa"/>
            <w:shd w:val="pct12" w:color="auto" w:fill="FFFFFF"/>
          </w:tcPr>
          <w:p w:rsidR="005F5B3D" w:rsidRDefault="005F5B3D" w:rsidP="0030686C">
            <w:pPr>
              <w:rPr>
                <w:sz w:val="20"/>
              </w:rPr>
            </w:pPr>
          </w:p>
          <w:p w:rsidR="005F5B3D" w:rsidRPr="006E0575" w:rsidRDefault="0016551D" w:rsidP="0030686C">
            <w:pPr>
              <w:rPr>
                <w:sz w:val="20"/>
              </w:rPr>
            </w:pPr>
            <w:r>
              <w:rPr>
                <w:sz w:val="20"/>
              </w:rPr>
              <w:t>1,00</w:t>
            </w:r>
          </w:p>
        </w:tc>
        <w:tc>
          <w:tcPr>
            <w:tcW w:w="1134" w:type="dxa"/>
          </w:tcPr>
          <w:p w:rsidR="005F5B3D" w:rsidRDefault="005F5B3D" w:rsidP="0030686C">
            <w:pPr>
              <w:rPr>
                <w:sz w:val="20"/>
              </w:rPr>
            </w:pPr>
          </w:p>
          <w:p w:rsidR="005F5B3D" w:rsidRPr="006E0575" w:rsidRDefault="00D23A16" w:rsidP="0030686C">
            <w:pPr>
              <w:rPr>
                <w:sz w:val="20"/>
              </w:rPr>
            </w:pPr>
            <w:r>
              <w:rPr>
                <w:sz w:val="20"/>
              </w:rPr>
              <w:t>-</w:t>
            </w:r>
          </w:p>
        </w:tc>
        <w:tc>
          <w:tcPr>
            <w:tcW w:w="1588" w:type="dxa"/>
          </w:tcPr>
          <w:p w:rsidR="005F5B3D" w:rsidRDefault="005F5B3D" w:rsidP="0030686C">
            <w:pPr>
              <w:rPr>
                <w:sz w:val="20"/>
              </w:rPr>
            </w:pPr>
          </w:p>
          <w:p w:rsidR="005F5B3D" w:rsidRPr="006E0575" w:rsidRDefault="00573C29" w:rsidP="00D23A16">
            <w:pPr>
              <w:rPr>
                <w:sz w:val="20"/>
              </w:rPr>
            </w:pPr>
            <w:r>
              <w:rPr>
                <w:sz w:val="20"/>
              </w:rPr>
              <w:t>80.100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D23A16" w:rsidRDefault="00D23A16" w:rsidP="00397D19"/>
    <w:p w:rsidR="00D23A16" w:rsidRDefault="00D23A16" w:rsidP="00D23A16">
      <w:r>
        <w:t>Für den technischen Betrieb eigener Anlagen des Amts für Sport und Bewegung (insbesondere Neubau und Sanierung Sporthallen, verschiedene Sport(</w:t>
      </w:r>
      <w:proofErr w:type="spellStart"/>
      <w:r>
        <w:t>veranstaltungs</w:t>
      </w:r>
      <w:proofErr w:type="spellEnd"/>
      <w:r>
        <w:t>)</w:t>
      </w:r>
      <w:proofErr w:type="spellStart"/>
      <w:r>
        <w:t>stätten</w:t>
      </w:r>
      <w:proofErr w:type="spellEnd"/>
      <w:r>
        <w:t>, Koordination der Bauunterhaltung, Projektmanagement und Betrieb der Technischen Gebäudeausrüstung) wird der Schaffung einer St</w:t>
      </w:r>
      <w:r w:rsidR="00B23FE6">
        <w:t>elle in EG 11 in der Abteilung „Sportv</w:t>
      </w:r>
      <w:r>
        <w:t>eranstaltungsstätten</w:t>
      </w:r>
      <w:r w:rsidR="00B23FE6">
        <w:t>“ (52-4)</w:t>
      </w:r>
      <w:r>
        <w:t xml:space="preserve">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FD58F3" w:rsidRDefault="009B380C" w:rsidP="00884D6C">
      <w:r>
        <w:t>Das Kriterium „</w:t>
      </w:r>
      <w:r w:rsidRPr="009B380C">
        <w:t>vom Gemeinderat beschlossene neue bzw. erweiterte Aufgaben oder Einrichtungen</w:t>
      </w:r>
      <w:r>
        <w:t>“ wird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F497D" w:rsidRDefault="003F497D" w:rsidP="00884D6C"/>
    <w:p w:rsidR="00872B71" w:rsidRDefault="00FD58F3" w:rsidP="00272FAE">
      <w:r w:rsidRPr="00272FAE">
        <w:t>Das Amt für Sport und Bewegung verfügt derzeit über 1,0</w:t>
      </w:r>
      <w:r w:rsidR="00573C29">
        <w:t xml:space="preserve"> Ingenieurs</w:t>
      </w:r>
      <w:r w:rsidRPr="00272FAE">
        <w:t>telle</w:t>
      </w:r>
      <w:r w:rsidR="005B7D64" w:rsidRPr="00272FAE">
        <w:t xml:space="preserve"> im Bereich des Technischen Services mit </w:t>
      </w:r>
      <w:r w:rsidR="002B4088" w:rsidRPr="00272FAE">
        <w:t>28</w:t>
      </w:r>
      <w:r w:rsidR="005B7D64" w:rsidRPr="00272FAE">
        <w:t xml:space="preserve"> Mitarbeiter</w:t>
      </w:r>
      <w:r w:rsidR="00573C29">
        <w:t>/-</w:t>
      </w:r>
      <w:r w:rsidR="005B7D64" w:rsidRPr="00272FAE">
        <w:t>innen</w:t>
      </w:r>
      <w:r w:rsidRPr="00272FAE">
        <w:t>. Der Stellenin</w:t>
      </w:r>
      <w:r w:rsidRPr="00573C29">
        <w:t xml:space="preserve">haber ist an allen Planungs- und Bauprozessen </w:t>
      </w:r>
      <w:r w:rsidR="005B7D64" w:rsidRPr="00573C29">
        <w:t xml:space="preserve">des </w:t>
      </w:r>
      <w:r w:rsidR="00573C29">
        <w:t>Amts für Sport und Bewegung</w:t>
      </w:r>
      <w:r w:rsidR="005B7D64" w:rsidRPr="00573C29">
        <w:t xml:space="preserve"> </w:t>
      </w:r>
      <w:r w:rsidRPr="00573C29">
        <w:t>beteiligt und außerdem verantwortlich für den Technischen Betrieb aller</w:t>
      </w:r>
      <w:r w:rsidRPr="00272FAE">
        <w:t xml:space="preserve"> in der Verwaltung des </w:t>
      </w:r>
      <w:r w:rsidR="00573C29">
        <w:t>Amt</w:t>
      </w:r>
      <w:r w:rsidR="00CF18B0">
        <w:t>s</w:t>
      </w:r>
      <w:r w:rsidR="00573C29">
        <w:t xml:space="preserve"> für Sport und Bewegung </w:t>
      </w:r>
      <w:r w:rsidRPr="00272FAE">
        <w:t>befindlichen Sport(</w:t>
      </w:r>
      <w:proofErr w:type="spellStart"/>
      <w:r w:rsidRPr="00272FAE">
        <w:t>veranstaltungs</w:t>
      </w:r>
      <w:proofErr w:type="spellEnd"/>
      <w:r w:rsidRPr="00272FAE">
        <w:t>)</w:t>
      </w:r>
      <w:proofErr w:type="spellStart"/>
      <w:r w:rsidR="00E40AA1" w:rsidRPr="00272FAE">
        <w:t>stätten</w:t>
      </w:r>
      <w:proofErr w:type="spellEnd"/>
      <w:r w:rsidR="00E40AA1" w:rsidRPr="00272FAE">
        <w:t>.</w:t>
      </w:r>
      <w:r w:rsidRPr="00272FAE">
        <w:t xml:space="preserve"> </w:t>
      </w:r>
    </w:p>
    <w:p w:rsidR="00272FAE" w:rsidRDefault="00272FAE" w:rsidP="00272FAE"/>
    <w:p w:rsidR="00E40AA1" w:rsidRDefault="00872B71" w:rsidP="00884D6C">
      <w:r>
        <w:t xml:space="preserve">In den letzten zehn Jahren hat das </w:t>
      </w:r>
      <w:r w:rsidR="00573C29">
        <w:t>Amt für Sport und Bewegung</w:t>
      </w:r>
      <w:r>
        <w:t xml:space="preserve"> vier große Neubau- und/oder Sanierungsmaßnahmen realisiert, die der Technische Leiter begleitet hat. </w:t>
      </w:r>
      <w:r w:rsidR="00272FAE">
        <w:t xml:space="preserve">Durch die im Rahmen des Doppelhaushalts 2022/2023 vom Gemeinderat </w:t>
      </w:r>
      <w:r w:rsidR="00272FAE" w:rsidRPr="00C50256">
        <w:t>beschlossenen Baumaßnahmen</w:t>
      </w:r>
      <w:r w:rsidR="00272FAE">
        <w:t xml:space="preserve"> und (bauliche und energetische) Generalsanierungen stehen i</w:t>
      </w:r>
      <w:r w:rsidR="009847B4">
        <w:t xml:space="preserve">n den kommenden zehn Jahren elf Bau-/Sanierungsprojekte sowie zwei Machbarkeitsstudien mit entsprechender Weiterplanung an. </w:t>
      </w:r>
      <w:r w:rsidR="00272FAE">
        <w:t>Die Planungsphase beginnt Jahre davor und d</w:t>
      </w:r>
      <w:r w:rsidR="003403DA">
        <w:t xml:space="preserve">ie Erfahrung hat gezeigt, dass die Einbindung des Technischen Leiters bereits ab </w:t>
      </w:r>
      <w:r w:rsidR="003403DA">
        <w:lastRenderedPageBreak/>
        <w:t>Phase 0 der Planung aus zwei Gründen zwingend erforderlich ist:</w:t>
      </w:r>
      <w:r w:rsidR="00272FAE">
        <w:t xml:space="preserve"> </w:t>
      </w:r>
      <w:r w:rsidR="003403DA">
        <w:t xml:space="preserve">Zum einen stellt er mit seiner technischen und sportfachlichen Expertise das Pendant zu Fachplanern und Hochbauamt dar und kann die Planung im Interesse des </w:t>
      </w:r>
      <w:r w:rsidR="00573C29">
        <w:t>Amts für Sport und Bewegung</w:t>
      </w:r>
      <w:r w:rsidR="003403DA">
        <w:t xml:space="preserve"> als Bauherr beurteilen. Zum anderen werden in der Planungsphase bereits die </w:t>
      </w:r>
      <w:r w:rsidR="00B80A33">
        <w:t xml:space="preserve">entscheidenden </w:t>
      </w:r>
      <w:r w:rsidR="003403DA">
        <w:t xml:space="preserve">Grundlagen für das Zusammenspiel des späteren Sport- und technischen Betriebs gelegt. </w:t>
      </w:r>
    </w:p>
    <w:p w:rsidR="00465311" w:rsidRDefault="00465311" w:rsidP="00884D6C"/>
    <w:p w:rsidR="00B80A33" w:rsidRDefault="00990CEF" w:rsidP="00884D6C">
      <w:r>
        <w:t xml:space="preserve">Für die in den letzten Jahren in Betrieb genommene TVH Uhlbach sowie für die Sporthalle Waldau wurden für die leitende technische Betreuung keine Stellenanteile beantragt. </w:t>
      </w:r>
      <w:r w:rsidR="00B80A33">
        <w:t>Bei neu geplanten Anlagen wir</w:t>
      </w:r>
      <w:r w:rsidR="00347C9A">
        <w:t>d</w:t>
      </w:r>
      <w:r w:rsidR="00B80A33">
        <w:t xml:space="preserve"> Stand heute pro Objekt 0,15-Stellenanteile</w:t>
      </w:r>
      <w:r w:rsidR="00347C9A">
        <w:t xml:space="preserve"> benötigt</w:t>
      </w:r>
      <w:bookmarkStart w:id="0" w:name="_GoBack"/>
      <w:bookmarkEnd w:id="0"/>
      <w:r w:rsidR="00B80A33">
        <w:t xml:space="preserve">. </w:t>
      </w:r>
      <w:r w:rsidR="004033EA">
        <w:t>Die fehlende Kapazität und die Inanspruchnahme der leitenden technischen Betreuung durch die beiden genannten Anlagen macht sich in Form von ständiger Arbeitsüberlastung bemerkbar</w:t>
      </w:r>
      <w:r w:rsidR="00B80A33">
        <w:t>.</w:t>
      </w:r>
      <w:r>
        <w:t xml:space="preserve"> </w:t>
      </w:r>
    </w:p>
    <w:p w:rsidR="00B80A33" w:rsidRDefault="00B80A33" w:rsidP="00884D6C"/>
    <w:p w:rsidR="00FD58F3" w:rsidRDefault="00B80A33" w:rsidP="00990CEF">
      <w:r>
        <w:t xml:space="preserve">Am 27. Juli 2022 hat der Gemeinderat den neuen Klimafahrplan beschlossen; die Stadt Stuttgart soll bis zum Jahr 2035 klimaneutral werden. Daraus generiert sich für das </w:t>
      </w:r>
      <w:r w:rsidR="00573C29">
        <w:t>Amt für Sport und Bewegung</w:t>
      </w:r>
      <w:r>
        <w:t xml:space="preserve"> Handlungsbedarf für </w:t>
      </w:r>
      <w:proofErr w:type="gramStart"/>
      <w:r>
        <w:t>die bestehenden</w:t>
      </w:r>
      <w:r w:rsidR="00990CEF">
        <w:t xml:space="preserve"> Sport</w:t>
      </w:r>
      <w:proofErr w:type="gramEnd"/>
      <w:r w:rsidR="00990CEF">
        <w:t>(</w:t>
      </w:r>
      <w:proofErr w:type="spellStart"/>
      <w:r w:rsidR="00990CEF">
        <w:t>veranstaltungs</w:t>
      </w:r>
      <w:proofErr w:type="spellEnd"/>
      <w:r w:rsidR="00990CEF">
        <w:t>)</w:t>
      </w:r>
      <w:proofErr w:type="spellStart"/>
      <w:r w:rsidR="00990CEF">
        <w:t>stätten</w:t>
      </w:r>
      <w:proofErr w:type="spellEnd"/>
      <w:r>
        <w:t xml:space="preserve">. </w:t>
      </w:r>
      <w:r w:rsidR="00990CEF">
        <w:t>Zum einen bedeutet dies die ständige Optimierung der Energieverbräuche</w:t>
      </w:r>
      <w:r>
        <w:t xml:space="preserve"> </w:t>
      </w:r>
      <w:r w:rsidR="00990CEF">
        <w:t>im</w:t>
      </w:r>
      <w:r>
        <w:t xml:space="preserve"> </w:t>
      </w:r>
      <w:r w:rsidR="00990CEF">
        <w:t>l</w:t>
      </w:r>
      <w:r w:rsidR="00465311">
        <w:t>aufende</w:t>
      </w:r>
      <w:r w:rsidR="00990CEF">
        <w:t>n Betrieb (Anpassung an die dynamische Entwicklung der Gebäudetechnik</w:t>
      </w:r>
      <w:r w:rsidR="00990CEF" w:rsidRPr="00B80A33">
        <w:t xml:space="preserve"> </w:t>
      </w:r>
      <w:r w:rsidR="00990CEF">
        <w:t xml:space="preserve">(Energieeffizienz)). Zum anderen </w:t>
      </w:r>
      <w:r w:rsidR="00573C29">
        <w:t>muss das Amt</w:t>
      </w:r>
      <w:r w:rsidR="00990CEF">
        <w:t xml:space="preserve"> ein Konzept entwickeln, wie de</w:t>
      </w:r>
      <w:r w:rsidR="00573C29">
        <w:t>r</w:t>
      </w:r>
      <w:r w:rsidR="00990CEF">
        <w:t xml:space="preserve"> o. g. Gemeinderatsbeschluss für </w:t>
      </w:r>
      <w:r w:rsidR="00573C29">
        <w:t>die</w:t>
      </w:r>
      <w:r w:rsidR="00990CEF">
        <w:t xml:space="preserve"> Sportstätten </w:t>
      </w:r>
      <w:r w:rsidR="00573C29">
        <w:t>umgesetzt wird</w:t>
      </w:r>
      <w:r w:rsidR="00990CEF">
        <w:t>. Die Federführung dafür muss im Bereich der Technischen Leitung liegen.</w:t>
      </w:r>
      <w:r w:rsidR="00465311">
        <w:t xml:space="preserve"> </w:t>
      </w:r>
    </w:p>
    <w:p w:rsidR="004033EA" w:rsidRDefault="004033EA" w:rsidP="00990CEF"/>
    <w:p w:rsidR="004033EA" w:rsidRPr="006E0575" w:rsidRDefault="004033EA" w:rsidP="00990CEF">
      <w:r>
        <w:t xml:space="preserve">Für die Übernahme der beschriebenen neuen Aufgaben und die dargestellte Aufgabenvermehrung ist die Schaffung </w:t>
      </w:r>
      <w:r w:rsidR="00573C29">
        <w:t>von</w:t>
      </w:r>
      <w:r>
        <w:t xml:space="preserve"> 1,0</w:t>
      </w:r>
      <w:r w:rsidR="00573C29">
        <w:t xml:space="preserve"> </w:t>
      </w:r>
      <w:r>
        <w:t>Stelle in EG 11 unabdingbar.</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465311" w:rsidP="00884D6C">
      <w:r>
        <w:t>Die Aufgaben werden bisher durch den Technische</w:t>
      </w:r>
      <w:r w:rsidR="004033EA">
        <w:t>n</w:t>
      </w:r>
      <w:r>
        <w:t xml:space="preserve"> Leiter wahrgenommen</w:t>
      </w:r>
      <w:r w:rsidR="004033EA">
        <w:t xml:space="preserve">. Die dargestellte Arbeitsvermehrung ist im Rahmen </w:t>
      </w:r>
      <w:r w:rsidR="00573C29">
        <w:t xml:space="preserve">der zur Verfügung stehenden 1,0 </w:t>
      </w:r>
      <w:r w:rsidR="004033EA">
        <w:t>Stelle nicht leistbar.</w:t>
      </w:r>
      <w:r>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3F497D" w:rsidRDefault="004033EA" w:rsidP="003F497D">
      <w:r>
        <w:t>Die Aufgaben können nicht erledigt werden. Es entstehen erhebliche betriebliche und wirtschaftliche Nachteile und Risiken für die LHS. Das Klimaziel 2035 kann im Bereich Sport und damit für die LHS nicht erreicht werden.</w:t>
      </w:r>
    </w:p>
    <w:p w:rsidR="003D7B0B" w:rsidRDefault="00884D6C" w:rsidP="00884D6C">
      <w:pPr>
        <w:pStyle w:val="berschrift1"/>
      </w:pPr>
      <w:r>
        <w:t>4</w:t>
      </w:r>
      <w:r>
        <w:tab/>
      </w:r>
      <w:r w:rsidR="003D7B0B">
        <w:t>Stellenvermerke</w:t>
      </w:r>
    </w:p>
    <w:p w:rsidR="003D7B0B" w:rsidRDefault="003D7B0B" w:rsidP="00884D6C"/>
    <w:p w:rsidR="00DE362D" w:rsidRDefault="00573C29"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16" w:rsidRDefault="00BD0216">
      <w:r>
        <w:separator/>
      </w:r>
    </w:p>
  </w:endnote>
  <w:endnote w:type="continuationSeparator" w:id="0">
    <w:p w:rsidR="00BD0216" w:rsidRDefault="00BD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16" w:rsidRDefault="00BD0216">
      <w:r>
        <w:separator/>
      </w:r>
    </w:p>
  </w:footnote>
  <w:footnote w:type="continuationSeparator" w:id="0">
    <w:p w:rsidR="00BD0216" w:rsidRDefault="00BD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47C9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E2CBC"/>
    <w:multiLevelType w:val="hybridMultilevel"/>
    <w:tmpl w:val="AD5E9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AD4EA6"/>
    <w:multiLevelType w:val="hybridMultilevel"/>
    <w:tmpl w:val="F7029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6F7357B"/>
    <w:multiLevelType w:val="hybridMultilevel"/>
    <w:tmpl w:val="96385FD2"/>
    <w:lvl w:ilvl="0" w:tplc="9F642D0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37278"/>
    <w:multiLevelType w:val="hybridMultilevel"/>
    <w:tmpl w:val="8A58F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5"/>
  </w:num>
  <w:num w:numId="5">
    <w:abstractNumId w:val="8"/>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6"/>
    <w:rsid w:val="00026253"/>
    <w:rsid w:val="00055758"/>
    <w:rsid w:val="00061F0B"/>
    <w:rsid w:val="000A1146"/>
    <w:rsid w:val="000B67F4"/>
    <w:rsid w:val="001034AF"/>
    <w:rsid w:val="0011112B"/>
    <w:rsid w:val="0014415D"/>
    <w:rsid w:val="00151488"/>
    <w:rsid w:val="00163034"/>
    <w:rsid w:val="00164678"/>
    <w:rsid w:val="0016551D"/>
    <w:rsid w:val="00165C0D"/>
    <w:rsid w:val="00166FB5"/>
    <w:rsid w:val="00181857"/>
    <w:rsid w:val="00184EDC"/>
    <w:rsid w:val="00194770"/>
    <w:rsid w:val="001A5F9B"/>
    <w:rsid w:val="001F7237"/>
    <w:rsid w:val="00272FAE"/>
    <w:rsid w:val="002924CB"/>
    <w:rsid w:val="002A20D1"/>
    <w:rsid w:val="002A4DE3"/>
    <w:rsid w:val="002B4088"/>
    <w:rsid w:val="002B5955"/>
    <w:rsid w:val="002D15A0"/>
    <w:rsid w:val="002F4750"/>
    <w:rsid w:val="0030686C"/>
    <w:rsid w:val="003403DA"/>
    <w:rsid w:val="00344DBC"/>
    <w:rsid w:val="00347C9A"/>
    <w:rsid w:val="00361ABA"/>
    <w:rsid w:val="00380937"/>
    <w:rsid w:val="00397717"/>
    <w:rsid w:val="00397D19"/>
    <w:rsid w:val="003D7B0B"/>
    <w:rsid w:val="003E0F4B"/>
    <w:rsid w:val="003F0FAA"/>
    <w:rsid w:val="003F497D"/>
    <w:rsid w:val="004033EA"/>
    <w:rsid w:val="0044282A"/>
    <w:rsid w:val="00442DC6"/>
    <w:rsid w:val="00465311"/>
    <w:rsid w:val="00470135"/>
    <w:rsid w:val="0047606A"/>
    <w:rsid w:val="004908B5"/>
    <w:rsid w:val="0049121B"/>
    <w:rsid w:val="004A1688"/>
    <w:rsid w:val="004B0F12"/>
    <w:rsid w:val="004B6796"/>
    <w:rsid w:val="004D73A7"/>
    <w:rsid w:val="005273CD"/>
    <w:rsid w:val="00573C29"/>
    <w:rsid w:val="005A0A9D"/>
    <w:rsid w:val="005A56AA"/>
    <w:rsid w:val="005B7D64"/>
    <w:rsid w:val="005D4F82"/>
    <w:rsid w:val="005E19C6"/>
    <w:rsid w:val="005F5B3D"/>
    <w:rsid w:val="00606F80"/>
    <w:rsid w:val="006115FB"/>
    <w:rsid w:val="00613507"/>
    <w:rsid w:val="00622CC7"/>
    <w:rsid w:val="006A406B"/>
    <w:rsid w:val="006B6D50"/>
    <w:rsid w:val="006E0575"/>
    <w:rsid w:val="0072799A"/>
    <w:rsid w:val="00754659"/>
    <w:rsid w:val="007E3B79"/>
    <w:rsid w:val="0080039A"/>
    <w:rsid w:val="008066EE"/>
    <w:rsid w:val="00817BB6"/>
    <w:rsid w:val="00826C8B"/>
    <w:rsid w:val="00872B71"/>
    <w:rsid w:val="00884D6C"/>
    <w:rsid w:val="008F45D0"/>
    <w:rsid w:val="00920F00"/>
    <w:rsid w:val="009373F6"/>
    <w:rsid w:val="00946276"/>
    <w:rsid w:val="0096038F"/>
    <w:rsid w:val="00976588"/>
    <w:rsid w:val="009847B4"/>
    <w:rsid w:val="00990CEF"/>
    <w:rsid w:val="009B380C"/>
    <w:rsid w:val="00A27CA7"/>
    <w:rsid w:val="00A45B30"/>
    <w:rsid w:val="00A71D0A"/>
    <w:rsid w:val="00A77F1E"/>
    <w:rsid w:val="00A847C4"/>
    <w:rsid w:val="00AB389D"/>
    <w:rsid w:val="00AE7B02"/>
    <w:rsid w:val="00AF0DEA"/>
    <w:rsid w:val="00AF25E0"/>
    <w:rsid w:val="00B04290"/>
    <w:rsid w:val="00B23FE6"/>
    <w:rsid w:val="00B80A33"/>
    <w:rsid w:val="00B80DEF"/>
    <w:rsid w:val="00B86BB5"/>
    <w:rsid w:val="00B91903"/>
    <w:rsid w:val="00BA4A51"/>
    <w:rsid w:val="00BC4669"/>
    <w:rsid w:val="00BD0216"/>
    <w:rsid w:val="00C16EF1"/>
    <w:rsid w:val="00C448D3"/>
    <w:rsid w:val="00C50256"/>
    <w:rsid w:val="00C56835"/>
    <w:rsid w:val="00CE6FE0"/>
    <w:rsid w:val="00CF18B0"/>
    <w:rsid w:val="00CF62E5"/>
    <w:rsid w:val="00D23A16"/>
    <w:rsid w:val="00D4726F"/>
    <w:rsid w:val="00D66D3A"/>
    <w:rsid w:val="00D743D4"/>
    <w:rsid w:val="00DB3D6C"/>
    <w:rsid w:val="00DE362D"/>
    <w:rsid w:val="00DE65A0"/>
    <w:rsid w:val="00E014B6"/>
    <w:rsid w:val="00E1162F"/>
    <w:rsid w:val="00E11D5F"/>
    <w:rsid w:val="00E20E1F"/>
    <w:rsid w:val="00E40AA1"/>
    <w:rsid w:val="00E42F96"/>
    <w:rsid w:val="00E62054"/>
    <w:rsid w:val="00E7118F"/>
    <w:rsid w:val="00F27657"/>
    <w:rsid w:val="00F342DC"/>
    <w:rsid w:val="00F45F29"/>
    <w:rsid w:val="00F56F93"/>
    <w:rsid w:val="00F63041"/>
    <w:rsid w:val="00F76452"/>
    <w:rsid w:val="00FD58F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EE2EE"/>
  <w15:docId w15:val="{BA2AD474-19B5-439A-BF2D-165BF4DA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397D19"/>
    <w:rPr>
      <w:rFonts w:ascii="Segoe UI" w:hAnsi="Segoe UI" w:cs="Segoe UI"/>
      <w:sz w:val="18"/>
      <w:szCs w:val="18"/>
    </w:rPr>
  </w:style>
  <w:style w:type="character" w:customStyle="1" w:styleId="SprechblasentextZchn">
    <w:name w:val="Sprechblasentext Zchn"/>
    <w:basedOn w:val="Absatz-Standardschriftart"/>
    <w:link w:val="Sprechblasentext"/>
    <w:semiHidden/>
    <w:rsid w:val="00397D19"/>
    <w:rPr>
      <w:rFonts w:ascii="Segoe UI" w:hAnsi="Segoe UI" w:cs="Segoe UI"/>
      <w:sz w:val="18"/>
      <w:szCs w:val="18"/>
    </w:rPr>
  </w:style>
  <w:style w:type="paragraph" w:styleId="Listenabsatz">
    <w:name w:val="List Paragraph"/>
    <w:basedOn w:val="Standard"/>
    <w:uiPriority w:val="34"/>
    <w:qFormat/>
    <w:rsid w:val="00C5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20002\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526</Words>
  <Characters>3462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Kirschmann, Monika</dc:creator>
  <cp:lastModifiedBy>Baumann, Gerhard</cp:lastModifiedBy>
  <cp:revision>12</cp:revision>
  <cp:lastPrinted>2023-10-31T07:11:00Z</cp:lastPrinted>
  <dcterms:created xsi:type="dcterms:W3CDTF">2023-07-17T11:51:00Z</dcterms:created>
  <dcterms:modified xsi:type="dcterms:W3CDTF">2023-10-31T07:11:00Z</dcterms:modified>
</cp:coreProperties>
</file>