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B32DC0">
        <w:t>44</w:t>
      </w:r>
      <w:r w:rsidRPr="006E0575">
        <w:t xml:space="preserve"> zur GRDrs</w:t>
      </w:r>
      <w:r w:rsidR="00B32DC0">
        <w:t>.</w:t>
      </w:r>
      <w:r w:rsidRPr="006E0575">
        <w:t xml:space="preserve"> </w:t>
      </w:r>
      <w:r w:rsidR="00B32DC0">
        <w:t>821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AA047D">
        <w:t>4</w:t>
      </w:r>
    </w:p>
    <w:p w:rsidR="003D7B0B" w:rsidRDefault="003D7B0B" w:rsidP="006E0575"/>
    <w:tbl>
      <w:tblPr>
        <w:tblW w:w="97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450"/>
        <w:gridCol w:w="1385"/>
        <w:gridCol w:w="1819"/>
        <w:gridCol w:w="646"/>
        <w:gridCol w:w="1362"/>
        <w:gridCol w:w="1550"/>
      </w:tblGrid>
      <w:tr w:rsidR="00891246" w:rsidRPr="006E0575" w:rsidTr="00B32DC0">
        <w:trPr>
          <w:tblHeader/>
        </w:trPr>
        <w:tc>
          <w:tcPr>
            <w:tcW w:w="1498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50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385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19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646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362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50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B32DC0">
        <w:tc>
          <w:tcPr>
            <w:tcW w:w="149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FD56B5" w:rsidRDefault="0021545E" w:rsidP="0021545E">
            <w:pPr>
              <w:rPr>
                <w:noProof/>
                <w:sz w:val="20"/>
              </w:rPr>
            </w:pPr>
            <w:r w:rsidRPr="00FD56B5">
              <w:rPr>
                <w:noProof/>
                <w:sz w:val="20"/>
              </w:rPr>
              <w:t>37</w:t>
            </w:r>
            <w:r w:rsidR="00B32DC0">
              <w:rPr>
                <w:noProof/>
                <w:sz w:val="20"/>
              </w:rPr>
              <w:t>0.5000.050</w:t>
            </w:r>
          </w:p>
          <w:p w:rsidR="00891246" w:rsidRPr="006E0575" w:rsidRDefault="00FD56B5" w:rsidP="00AD3A46">
            <w:pPr>
              <w:rPr>
                <w:sz w:val="20"/>
              </w:rPr>
            </w:pPr>
            <w:r>
              <w:rPr>
                <w:noProof/>
                <w:sz w:val="20"/>
              </w:rPr>
              <w:t>3750</w:t>
            </w:r>
            <w:r w:rsidR="0000650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6110</w:t>
            </w:r>
          </w:p>
        </w:tc>
        <w:tc>
          <w:tcPr>
            <w:tcW w:w="1450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1545E" w:rsidP="00AD3A46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1385" w:type="dxa"/>
          </w:tcPr>
          <w:p w:rsidR="0021545E" w:rsidRDefault="0021545E" w:rsidP="00AD3A46">
            <w:pPr>
              <w:rPr>
                <w:sz w:val="20"/>
              </w:rPr>
            </w:pPr>
          </w:p>
          <w:p w:rsidR="00006500" w:rsidRDefault="00006500" w:rsidP="00006500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819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006500" w:rsidRDefault="00006500" w:rsidP="00006500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891246" w:rsidRPr="006E0575" w:rsidRDefault="00891246" w:rsidP="00D376AE">
            <w:pPr>
              <w:rPr>
                <w:sz w:val="20"/>
              </w:rPr>
            </w:pPr>
          </w:p>
        </w:tc>
        <w:tc>
          <w:tcPr>
            <w:tcW w:w="646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1545E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  <w:r w:rsidR="00903EF0">
              <w:rPr>
                <w:sz w:val="20"/>
              </w:rPr>
              <w:t xml:space="preserve"> </w:t>
            </w:r>
          </w:p>
        </w:tc>
        <w:tc>
          <w:tcPr>
            <w:tcW w:w="1362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006500" w:rsidP="00AD3A46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</w:tc>
        <w:tc>
          <w:tcPr>
            <w:tcW w:w="1550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006500">
            <w:pPr>
              <w:rPr>
                <w:sz w:val="20"/>
              </w:rPr>
            </w:pPr>
          </w:p>
        </w:tc>
      </w:tr>
    </w:tbl>
    <w:p w:rsidR="00006500" w:rsidRPr="00006500" w:rsidRDefault="0016198E" w:rsidP="00006500">
      <w:pPr>
        <w:pStyle w:val="berschrift1"/>
        <w:keepNext/>
        <w:tabs>
          <w:tab w:val="clear" w:pos="6521"/>
        </w:tabs>
        <w:spacing w:before="480"/>
        <w:ind w:left="284" w:hanging="284"/>
        <w:jc w:val="left"/>
        <w:rPr>
          <w:sz w:val="24"/>
        </w:rPr>
      </w:pPr>
      <w:r>
        <w:rPr>
          <w:sz w:val="24"/>
        </w:rPr>
        <w:t>Begründung</w:t>
      </w:r>
    </w:p>
    <w:p w:rsidR="00006500" w:rsidRDefault="00006500" w:rsidP="00006500"/>
    <w:p w:rsidR="00694161" w:rsidRPr="00694161" w:rsidRDefault="0016198E" w:rsidP="0016198E">
      <w:pPr>
        <w:jc w:val="both"/>
      </w:pPr>
      <w:r>
        <w:t>Entsprechend der GRDrs. 7/2022 Fortschreibung des Feuerwehrbedarfsplans 2021 wird dem Wegfall des Vermerks an o. g. Stelle bei der Branddirektion zugestimmt.</w:t>
      </w:r>
      <w:r>
        <w:t xml:space="preserve"> </w:t>
      </w:r>
      <w:r w:rsidR="00006500">
        <w:t>Auf die ausführliche Begründung in der v.</w:t>
      </w:r>
      <w:r w:rsidR="00B32DC0">
        <w:t xml:space="preserve"> </w:t>
      </w:r>
      <w:r w:rsidR="00006500">
        <w:t>g. GRDrs. wird Bezug genommen.</w:t>
      </w:r>
    </w:p>
    <w:p w:rsidR="003D7B0B" w:rsidRDefault="003D7B0B" w:rsidP="00694161"/>
    <w:p w:rsidR="00363D03" w:rsidRDefault="00273314" w:rsidP="00273314">
      <w:pPr>
        <w:jc w:val="both"/>
      </w:pPr>
      <w:r>
        <w:t>Die Gefährdungsbeurteilung bildet die Grundlage des betrieblichen Arbeitsschutzes und ist eine Bestandsaufnahme aller vorhandenen Gefährdungen für die Sicherheit und Gesundheit der Mitarbeiter</w:t>
      </w:r>
      <w:r w:rsidR="00B32DC0">
        <w:t>/-</w:t>
      </w:r>
      <w:r w:rsidR="00006500">
        <w:t>innen</w:t>
      </w:r>
      <w:r>
        <w:t xml:space="preserve">. Alle Arbeitsabläufe, </w:t>
      </w:r>
      <w:r w:rsidR="000C245C">
        <w:t>-</w:t>
      </w:r>
      <w:r>
        <w:t xml:space="preserve">mittel und -bedingungen müssen daraufhin untersucht werden, ob sie sicher sind oder Risiken bergen. Darüber hinaus </w:t>
      </w:r>
      <w:r w:rsidR="00363D03">
        <w:t xml:space="preserve">dürfen </w:t>
      </w:r>
      <w:r>
        <w:t xml:space="preserve">nur dann Arbeitsmittel zur Verfügung </w:t>
      </w:r>
      <w:r w:rsidR="00363D03">
        <w:t>ge</w:t>
      </w:r>
      <w:r>
        <w:t>stell</w:t>
      </w:r>
      <w:r w:rsidR="00363D03">
        <w:t>t werden</w:t>
      </w:r>
      <w:r>
        <w:t xml:space="preserve">, wenn vorab die auftretenden Gefährdungen beurteilt </w:t>
      </w:r>
      <w:r w:rsidR="00363D03">
        <w:t>sind</w:t>
      </w:r>
      <w:r>
        <w:t xml:space="preserve">. </w:t>
      </w:r>
    </w:p>
    <w:p w:rsidR="00363D03" w:rsidRDefault="00363D03" w:rsidP="00273314">
      <w:pPr>
        <w:jc w:val="both"/>
      </w:pPr>
    </w:p>
    <w:p w:rsidR="00363D03" w:rsidRDefault="003F05D3" w:rsidP="00273314">
      <w:pPr>
        <w:jc w:val="both"/>
        <w:rPr>
          <w:noProof/>
          <w:szCs w:val="22"/>
        </w:rPr>
      </w:pPr>
      <w:r>
        <w:rPr>
          <w:noProof/>
          <w:szCs w:val="22"/>
        </w:rPr>
        <w:t>Sowohl die Notwendigkeit als auch die organisatorische Zuordnung der o.</w:t>
      </w:r>
      <w:r w:rsidR="00B32DC0">
        <w:rPr>
          <w:noProof/>
          <w:szCs w:val="22"/>
        </w:rPr>
        <w:t xml:space="preserve"> </w:t>
      </w:r>
      <w:r>
        <w:rPr>
          <w:noProof/>
          <w:szCs w:val="22"/>
        </w:rPr>
        <w:t>g</w:t>
      </w:r>
      <w:r w:rsidR="00B32DC0">
        <w:rPr>
          <w:noProof/>
          <w:szCs w:val="22"/>
        </w:rPr>
        <w:t>.</w:t>
      </w:r>
      <w:r>
        <w:rPr>
          <w:noProof/>
          <w:szCs w:val="22"/>
        </w:rPr>
        <w:t xml:space="preserve"> Funktion </w:t>
      </w:r>
      <w:r w:rsidR="00363D03">
        <w:rPr>
          <w:noProof/>
          <w:szCs w:val="22"/>
        </w:rPr>
        <w:t>wurde im Rahmen der</w:t>
      </w:r>
      <w:r w:rsidR="00020AF5">
        <w:rPr>
          <w:noProof/>
          <w:szCs w:val="22"/>
        </w:rPr>
        <w:t xml:space="preserve"> Fortschreibung des Feuerwehrbedarfsplanes </w:t>
      </w:r>
      <w:r w:rsidR="00363D03">
        <w:rPr>
          <w:noProof/>
          <w:szCs w:val="22"/>
        </w:rPr>
        <w:t xml:space="preserve">2021 </w:t>
      </w:r>
      <w:r w:rsidR="00020AF5">
        <w:rPr>
          <w:noProof/>
          <w:szCs w:val="22"/>
        </w:rPr>
        <w:t xml:space="preserve">durch den </w:t>
      </w:r>
      <w:r w:rsidR="008069A0">
        <w:rPr>
          <w:noProof/>
          <w:szCs w:val="22"/>
        </w:rPr>
        <w:t xml:space="preserve">externen </w:t>
      </w:r>
      <w:r w:rsidR="00020AF5">
        <w:rPr>
          <w:noProof/>
          <w:szCs w:val="22"/>
        </w:rPr>
        <w:t>Gutachter</w:t>
      </w:r>
      <w:r>
        <w:rPr>
          <w:noProof/>
          <w:szCs w:val="22"/>
        </w:rPr>
        <w:t xml:space="preserve"> </w:t>
      </w:r>
      <w:r w:rsidR="008069A0">
        <w:rPr>
          <w:noProof/>
          <w:szCs w:val="22"/>
        </w:rPr>
        <w:t>bewertet</w:t>
      </w:r>
      <w:r w:rsidR="00363D03">
        <w:rPr>
          <w:noProof/>
          <w:szCs w:val="22"/>
        </w:rPr>
        <w:t xml:space="preserve"> und </w:t>
      </w:r>
      <w:r w:rsidR="008069A0">
        <w:rPr>
          <w:noProof/>
          <w:szCs w:val="22"/>
        </w:rPr>
        <w:t xml:space="preserve">zur </w:t>
      </w:r>
      <w:r w:rsidR="00363D03">
        <w:rPr>
          <w:noProof/>
          <w:szCs w:val="22"/>
        </w:rPr>
        <w:t xml:space="preserve">dauerhaften </w:t>
      </w:r>
      <w:r w:rsidR="008069A0">
        <w:rPr>
          <w:noProof/>
          <w:szCs w:val="22"/>
        </w:rPr>
        <w:t>Umsetzung empfohlen.</w:t>
      </w:r>
      <w:r w:rsidR="00020AF5">
        <w:rPr>
          <w:noProof/>
          <w:szCs w:val="22"/>
        </w:rPr>
        <w:t xml:space="preserve"> </w:t>
      </w:r>
    </w:p>
    <w:p w:rsidR="00E74D88" w:rsidRDefault="00E74D88" w:rsidP="00273314">
      <w:pPr>
        <w:jc w:val="both"/>
        <w:rPr>
          <w:noProof/>
          <w:szCs w:val="22"/>
        </w:rPr>
      </w:pPr>
    </w:p>
    <w:p w:rsidR="00E74D88" w:rsidRDefault="008069A0" w:rsidP="00273314">
      <w:pPr>
        <w:jc w:val="both"/>
        <w:rPr>
          <w:noProof/>
          <w:szCs w:val="22"/>
        </w:rPr>
      </w:pPr>
      <w:r>
        <w:rPr>
          <w:noProof/>
          <w:szCs w:val="22"/>
        </w:rPr>
        <w:t>Ein</w:t>
      </w:r>
      <w:r w:rsidR="00B32DC0">
        <w:rPr>
          <w:noProof/>
          <w:szCs w:val="22"/>
        </w:rPr>
        <w:t xml:space="preserve"> Wegfall </w:t>
      </w:r>
      <w:r w:rsidR="00571F65">
        <w:rPr>
          <w:noProof/>
          <w:szCs w:val="22"/>
        </w:rPr>
        <w:t>der o.</w:t>
      </w:r>
      <w:r w:rsidR="00B32DC0">
        <w:rPr>
          <w:noProof/>
          <w:szCs w:val="22"/>
        </w:rPr>
        <w:t xml:space="preserve"> </w:t>
      </w:r>
      <w:r w:rsidR="00571F65">
        <w:rPr>
          <w:noProof/>
          <w:szCs w:val="22"/>
        </w:rPr>
        <w:t xml:space="preserve">g. Stelle würde </w:t>
      </w:r>
      <w:r>
        <w:rPr>
          <w:noProof/>
          <w:szCs w:val="22"/>
        </w:rPr>
        <w:t xml:space="preserve">dazu </w:t>
      </w:r>
      <w:r w:rsidR="00E74D88">
        <w:rPr>
          <w:noProof/>
          <w:szCs w:val="22"/>
        </w:rPr>
        <w:t>führen</w:t>
      </w:r>
      <w:r w:rsidR="00571F65">
        <w:rPr>
          <w:noProof/>
          <w:szCs w:val="22"/>
        </w:rPr>
        <w:t>,</w:t>
      </w:r>
      <w:r w:rsidR="00E74D88">
        <w:rPr>
          <w:noProof/>
          <w:szCs w:val="22"/>
        </w:rPr>
        <w:t xml:space="preserve"> dass diese</w:t>
      </w:r>
      <w:r>
        <w:rPr>
          <w:noProof/>
          <w:szCs w:val="22"/>
        </w:rPr>
        <w:t>r</w:t>
      </w:r>
      <w:r w:rsidR="00E74D88">
        <w:rPr>
          <w:noProof/>
          <w:szCs w:val="22"/>
        </w:rPr>
        <w:t xml:space="preserve"> gesetzliche</w:t>
      </w:r>
      <w:r>
        <w:rPr>
          <w:noProof/>
          <w:szCs w:val="22"/>
        </w:rPr>
        <w:t>n</w:t>
      </w:r>
      <w:r w:rsidR="00E74D88">
        <w:rPr>
          <w:noProof/>
          <w:szCs w:val="22"/>
        </w:rPr>
        <w:t xml:space="preserve"> Pflicht im Hinblick auf die Arbeitssicherheit nicht nachgekommen werden </w:t>
      </w:r>
      <w:r>
        <w:rPr>
          <w:noProof/>
          <w:szCs w:val="22"/>
        </w:rPr>
        <w:t>kann und b</w:t>
      </w:r>
      <w:r w:rsidR="00E74D88">
        <w:rPr>
          <w:noProof/>
          <w:szCs w:val="22"/>
        </w:rPr>
        <w:t>ei Unterlassung ggf.</w:t>
      </w:r>
      <w:r>
        <w:rPr>
          <w:noProof/>
          <w:szCs w:val="22"/>
        </w:rPr>
        <w:t xml:space="preserve"> sogar</w:t>
      </w:r>
      <w:r w:rsidR="00E74D88">
        <w:rPr>
          <w:noProof/>
          <w:szCs w:val="22"/>
        </w:rPr>
        <w:t xml:space="preserve"> Dienstvorgesetzte persönlich haften</w:t>
      </w:r>
      <w:r>
        <w:rPr>
          <w:noProof/>
          <w:szCs w:val="22"/>
        </w:rPr>
        <w:t xml:space="preserve"> müssten</w:t>
      </w:r>
      <w:r w:rsidR="00E74D88">
        <w:rPr>
          <w:noProof/>
          <w:szCs w:val="22"/>
        </w:rPr>
        <w:t>. Des weiteren ist die Stelle fester Bestandteil des Soll-Stellenplans der Fortschreibung des</w:t>
      </w:r>
      <w:r w:rsidR="00363D03">
        <w:rPr>
          <w:noProof/>
          <w:szCs w:val="22"/>
        </w:rPr>
        <w:t xml:space="preserve"> Feuewerwehr</w:t>
      </w:r>
      <w:r w:rsidR="00E74D88">
        <w:rPr>
          <w:noProof/>
          <w:szCs w:val="22"/>
        </w:rPr>
        <w:t xml:space="preserve">bedarfsplanes </w:t>
      </w:r>
      <w:r w:rsidR="00363D03">
        <w:rPr>
          <w:noProof/>
          <w:szCs w:val="22"/>
        </w:rPr>
        <w:t xml:space="preserve">2021 </w:t>
      </w:r>
      <w:r w:rsidR="00E74D88">
        <w:rPr>
          <w:noProof/>
          <w:szCs w:val="22"/>
        </w:rPr>
        <w:t xml:space="preserve">und somit auch für die Umsetzung des Gesamtkonzeptes </w:t>
      </w:r>
      <w:r w:rsidR="00187B9C">
        <w:rPr>
          <w:noProof/>
          <w:szCs w:val="22"/>
        </w:rPr>
        <w:t xml:space="preserve">zwingend </w:t>
      </w:r>
      <w:r w:rsidR="00E74D88">
        <w:rPr>
          <w:noProof/>
          <w:szCs w:val="22"/>
        </w:rPr>
        <w:t xml:space="preserve">erforderlich. </w:t>
      </w:r>
      <w:bookmarkStart w:id="0" w:name="_GoBack"/>
      <w:bookmarkEnd w:id="0"/>
    </w:p>
    <w:sectPr w:rsidR="00E74D8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B3" w:rsidRDefault="001B7DB3">
      <w:r>
        <w:separator/>
      </w:r>
    </w:p>
  </w:endnote>
  <w:endnote w:type="continuationSeparator" w:id="0">
    <w:p w:rsidR="001B7DB3" w:rsidRDefault="001B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B3" w:rsidRDefault="001B7DB3">
      <w:r>
        <w:separator/>
      </w:r>
    </w:p>
  </w:footnote>
  <w:footnote w:type="continuationSeparator" w:id="0">
    <w:p w:rsidR="001B7DB3" w:rsidRDefault="001B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16198E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CD13650"/>
    <w:multiLevelType w:val="hybridMultilevel"/>
    <w:tmpl w:val="A33EE9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D5D71"/>
    <w:multiLevelType w:val="hybridMultilevel"/>
    <w:tmpl w:val="F260FF6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8A02BA"/>
    <w:multiLevelType w:val="hybridMultilevel"/>
    <w:tmpl w:val="FB44F84E"/>
    <w:lvl w:ilvl="0" w:tplc="30E64142">
      <w:start w:val="1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F0170CD"/>
    <w:multiLevelType w:val="hybridMultilevel"/>
    <w:tmpl w:val="7A6043DC"/>
    <w:lvl w:ilvl="0" w:tplc="0407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B3"/>
    <w:rsid w:val="00006500"/>
    <w:rsid w:val="00020AF5"/>
    <w:rsid w:val="000447AA"/>
    <w:rsid w:val="00074F02"/>
    <w:rsid w:val="000A0F1F"/>
    <w:rsid w:val="000A1146"/>
    <w:rsid w:val="000C245C"/>
    <w:rsid w:val="001058DD"/>
    <w:rsid w:val="0016198E"/>
    <w:rsid w:val="00165C0D"/>
    <w:rsid w:val="00181857"/>
    <w:rsid w:val="00187B9C"/>
    <w:rsid w:val="001B7DB3"/>
    <w:rsid w:val="001F5D9F"/>
    <w:rsid w:val="002058C2"/>
    <w:rsid w:val="00213C7A"/>
    <w:rsid w:val="0021545E"/>
    <w:rsid w:val="00225D47"/>
    <w:rsid w:val="00273314"/>
    <w:rsid w:val="002812E4"/>
    <w:rsid w:val="002924CB"/>
    <w:rsid w:val="002A664A"/>
    <w:rsid w:val="002B6783"/>
    <w:rsid w:val="002C2BCF"/>
    <w:rsid w:val="003237BB"/>
    <w:rsid w:val="00361333"/>
    <w:rsid w:val="00363D03"/>
    <w:rsid w:val="00373C2F"/>
    <w:rsid w:val="003A7A41"/>
    <w:rsid w:val="003D5196"/>
    <w:rsid w:val="003D7B0B"/>
    <w:rsid w:val="003F05D3"/>
    <w:rsid w:val="003F20FE"/>
    <w:rsid w:val="00406723"/>
    <w:rsid w:val="00465F02"/>
    <w:rsid w:val="004920E9"/>
    <w:rsid w:val="004B6796"/>
    <w:rsid w:val="004D7F89"/>
    <w:rsid w:val="00537E08"/>
    <w:rsid w:val="00571F65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26499"/>
    <w:rsid w:val="00727C73"/>
    <w:rsid w:val="00746A71"/>
    <w:rsid w:val="00767369"/>
    <w:rsid w:val="00796600"/>
    <w:rsid w:val="007B5FE2"/>
    <w:rsid w:val="008069A0"/>
    <w:rsid w:val="0083052F"/>
    <w:rsid w:val="00840569"/>
    <w:rsid w:val="00884D6C"/>
    <w:rsid w:val="00891246"/>
    <w:rsid w:val="00893E55"/>
    <w:rsid w:val="008A1899"/>
    <w:rsid w:val="008F400E"/>
    <w:rsid w:val="00903EF0"/>
    <w:rsid w:val="00960BE9"/>
    <w:rsid w:val="00963654"/>
    <w:rsid w:val="00980CF5"/>
    <w:rsid w:val="00984AC4"/>
    <w:rsid w:val="00995EBD"/>
    <w:rsid w:val="009B0FBE"/>
    <w:rsid w:val="00A206E5"/>
    <w:rsid w:val="00A34898"/>
    <w:rsid w:val="00A35FC6"/>
    <w:rsid w:val="00A77C35"/>
    <w:rsid w:val="00A77F1E"/>
    <w:rsid w:val="00A8778F"/>
    <w:rsid w:val="00AA047D"/>
    <w:rsid w:val="00AB0D1F"/>
    <w:rsid w:val="00AD3A46"/>
    <w:rsid w:val="00AF120D"/>
    <w:rsid w:val="00B04290"/>
    <w:rsid w:val="00B238D8"/>
    <w:rsid w:val="00B32DC0"/>
    <w:rsid w:val="00B80DEF"/>
    <w:rsid w:val="00C42332"/>
    <w:rsid w:val="00C448D3"/>
    <w:rsid w:val="00CD0B27"/>
    <w:rsid w:val="00CE7D5B"/>
    <w:rsid w:val="00D15184"/>
    <w:rsid w:val="00D24277"/>
    <w:rsid w:val="00D30F54"/>
    <w:rsid w:val="00D376AE"/>
    <w:rsid w:val="00D404B5"/>
    <w:rsid w:val="00D544BF"/>
    <w:rsid w:val="00D60BEF"/>
    <w:rsid w:val="00D8380B"/>
    <w:rsid w:val="00DA24CD"/>
    <w:rsid w:val="00DA701E"/>
    <w:rsid w:val="00DB315E"/>
    <w:rsid w:val="00DE32BA"/>
    <w:rsid w:val="00DF268B"/>
    <w:rsid w:val="00DF3470"/>
    <w:rsid w:val="00E1162F"/>
    <w:rsid w:val="00E119DB"/>
    <w:rsid w:val="00E11D5F"/>
    <w:rsid w:val="00E24307"/>
    <w:rsid w:val="00E248AF"/>
    <w:rsid w:val="00E37194"/>
    <w:rsid w:val="00E74D88"/>
    <w:rsid w:val="00E917F3"/>
    <w:rsid w:val="00EB1FB5"/>
    <w:rsid w:val="00ED4611"/>
    <w:rsid w:val="00F00C79"/>
    <w:rsid w:val="00F132FA"/>
    <w:rsid w:val="00F27657"/>
    <w:rsid w:val="00F27BB8"/>
    <w:rsid w:val="00F72CB6"/>
    <w:rsid w:val="00FB7258"/>
    <w:rsid w:val="00FD56B5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72BB"/>
  <w15:docId w15:val="{B45B29FC-AAFB-4CE4-8B10-2FC5DA5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D46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Fett">
    <w:name w:val="Strong"/>
    <w:uiPriority w:val="22"/>
    <w:qFormat/>
    <w:rsid w:val="00ED4611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069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b702\AppData\Local\Temp\notes65C8F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1B83-E05C-4BB5-9F34-7A6FF45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215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Jackszis, Carolina</dc:creator>
  <dc:description/>
  <cp:lastModifiedBy>Baumann, Gerhard</cp:lastModifiedBy>
  <cp:revision>13</cp:revision>
  <cp:lastPrinted>2023-10-31T07:09:00Z</cp:lastPrinted>
  <dcterms:created xsi:type="dcterms:W3CDTF">2023-01-13T11:39:00Z</dcterms:created>
  <dcterms:modified xsi:type="dcterms:W3CDTF">2023-10-31T07:09:00Z</dcterms:modified>
</cp:coreProperties>
</file>