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40494">
      <w:pPr>
        <w:jc w:val="right"/>
      </w:pPr>
      <w:r w:rsidRPr="006E0575">
        <w:t xml:space="preserve">Anlage </w:t>
      </w:r>
      <w:r w:rsidR="00896E8C">
        <w:t>37</w:t>
      </w:r>
      <w:r w:rsidRPr="006E0575">
        <w:t xml:space="preserve"> zur GRDrs</w:t>
      </w:r>
      <w:r w:rsidR="00896E8C">
        <w:t>.</w:t>
      </w:r>
      <w:r w:rsidRPr="006E0575">
        <w:t xml:space="preserve"> </w:t>
      </w:r>
      <w:r w:rsidR="00896E8C">
        <w:t>821</w:t>
      </w:r>
      <w:r w:rsidR="005F5B3D">
        <w:t>/20</w:t>
      </w:r>
      <w:r w:rsidR="00AE7B02">
        <w:t>2</w:t>
      </w:r>
      <w:r w:rsidR="00026253">
        <w:t>3</w:t>
      </w:r>
    </w:p>
    <w:p w:rsidR="003D7B0B" w:rsidRPr="006E0575" w:rsidRDefault="003D7B0B" w:rsidP="00E765D0">
      <w:pPr>
        <w:jc w:val="both"/>
      </w:pPr>
    </w:p>
    <w:p w:rsidR="003D7B0B" w:rsidRPr="006E0575" w:rsidRDefault="003D7B0B" w:rsidP="00E765D0">
      <w:pPr>
        <w:jc w:val="both"/>
      </w:pPr>
    </w:p>
    <w:p w:rsidR="003E0F4B" w:rsidRDefault="003D7B0B" w:rsidP="00D40494">
      <w:pPr>
        <w:jc w:val="center"/>
        <w:rPr>
          <w:b/>
          <w:sz w:val="36"/>
        </w:rPr>
      </w:pPr>
      <w:r>
        <w:rPr>
          <w:b/>
          <w:sz w:val="36"/>
          <w:u w:val="single"/>
        </w:rPr>
        <w:t>Stellenschaffun</w:t>
      </w:r>
      <w:r w:rsidRPr="00AB389D">
        <w:rPr>
          <w:b/>
          <w:sz w:val="36"/>
        </w:rPr>
        <w:t>g</w:t>
      </w:r>
    </w:p>
    <w:p w:rsidR="003D7B0B" w:rsidRPr="00E42F96" w:rsidRDefault="00184EDC" w:rsidP="00D40494">
      <w:pPr>
        <w:jc w:val="center"/>
        <w:rPr>
          <w:b/>
          <w:sz w:val="36"/>
          <w:szCs w:val="36"/>
          <w:u w:val="single"/>
        </w:rPr>
      </w:pPr>
      <w:r w:rsidRPr="00E42F96">
        <w:rPr>
          <w:b/>
          <w:sz w:val="36"/>
          <w:szCs w:val="36"/>
          <w:u w:val="single"/>
        </w:rPr>
        <w:t>zum Stellenplan 20</w:t>
      </w:r>
      <w:r w:rsidR="00DE362D">
        <w:rPr>
          <w:b/>
          <w:sz w:val="36"/>
          <w:szCs w:val="36"/>
          <w:u w:val="single"/>
        </w:rPr>
        <w:t>2</w:t>
      </w:r>
      <w:r w:rsidR="00816690">
        <w:rPr>
          <w:b/>
          <w:sz w:val="36"/>
          <w:szCs w:val="36"/>
          <w:u w:val="single"/>
        </w:rPr>
        <w:t>4</w:t>
      </w:r>
    </w:p>
    <w:p w:rsidR="003D7B0B" w:rsidRDefault="003D7B0B" w:rsidP="00E765D0">
      <w:pPr>
        <w:jc w:val="both"/>
        <w:rPr>
          <w:u w:val="single"/>
        </w:rPr>
      </w:pPr>
    </w:p>
    <w:p w:rsidR="00DE362D" w:rsidRPr="00E42F96" w:rsidRDefault="00DE362D" w:rsidP="00E765D0">
      <w:pPr>
        <w:jc w:val="both"/>
        <w:rPr>
          <w:u w:val="single"/>
        </w:rPr>
      </w:pPr>
    </w:p>
    <w:tbl>
      <w:tblPr>
        <w:tblW w:w="95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23"/>
        <w:gridCol w:w="1701"/>
        <w:gridCol w:w="1312"/>
        <w:gridCol w:w="1701"/>
        <w:gridCol w:w="851"/>
        <w:gridCol w:w="1134"/>
        <w:gridCol w:w="1588"/>
      </w:tblGrid>
      <w:tr w:rsidR="005F5B3D" w:rsidRPr="006E0575" w:rsidTr="000F4282">
        <w:trPr>
          <w:tblHeader/>
        </w:trPr>
        <w:tc>
          <w:tcPr>
            <w:tcW w:w="1223" w:type="dxa"/>
            <w:shd w:val="pct12" w:color="auto" w:fill="FFFFFF"/>
          </w:tcPr>
          <w:p w:rsidR="00DE362D" w:rsidRDefault="005F5B3D" w:rsidP="00E765D0">
            <w:pPr>
              <w:spacing w:before="120" w:after="120" w:line="200" w:lineRule="exact"/>
              <w:jc w:val="both"/>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E765D0">
            <w:pPr>
              <w:spacing w:before="120" w:after="120" w:line="200" w:lineRule="exact"/>
              <w:jc w:val="both"/>
              <w:rPr>
                <w:sz w:val="16"/>
                <w:szCs w:val="16"/>
              </w:rPr>
            </w:pPr>
            <w:r>
              <w:rPr>
                <w:sz w:val="16"/>
                <w:szCs w:val="16"/>
              </w:rPr>
              <w:t>Kostenstelle</w:t>
            </w:r>
          </w:p>
        </w:tc>
        <w:tc>
          <w:tcPr>
            <w:tcW w:w="1701"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Amt</w:t>
            </w:r>
          </w:p>
        </w:tc>
        <w:tc>
          <w:tcPr>
            <w:tcW w:w="1312" w:type="dxa"/>
            <w:shd w:val="pct12" w:color="auto" w:fill="FFFFFF"/>
          </w:tcPr>
          <w:p w:rsidR="00DE362D" w:rsidRDefault="00606F80" w:rsidP="00E765D0">
            <w:pPr>
              <w:spacing w:before="120" w:after="120" w:line="200" w:lineRule="exact"/>
              <w:jc w:val="both"/>
              <w:rPr>
                <w:sz w:val="16"/>
                <w:szCs w:val="16"/>
              </w:rPr>
            </w:pPr>
            <w:r>
              <w:rPr>
                <w:sz w:val="16"/>
                <w:szCs w:val="16"/>
              </w:rPr>
              <w:t>BesGr.</w:t>
            </w:r>
          </w:p>
          <w:p w:rsidR="00DE362D" w:rsidRDefault="00606F80" w:rsidP="00E765D0">
            <w:pPr>
              <w:spacing w:before="120" w:after="120" w:line="200" w:lineRule="exact"/>
              <w:jc w:val="both"/>
              <w:rPr>
                <w:sz w:val="16"/>
                <w:szCs w:val="16"/>
              </w:rPr>
            </w:pPr>
            <w:r>
              <w:rPr>
                <w:sz w:val="16"/>
                <w:szCs w:val="16"/>
              </w:rPr>
              <w:t>oder</w:t>
            </w:r>
          </w:p>
          <w:p w:rsidR="00606F80" w:rsidRPr="006E0575" w:rsidRDefault="00606F80" w:rsidP="00E765D0">
            <w:pPr>
              <w:spacing w:before="120" w:after="120" w:line="200" w:lineRule="exact"/>
              <w:jc w:val="both"/>
              <w:rPr>
                <w:sz w:val="16"/>
                <w:szCs w:val="16"/>
              </w:rPr>
            </w:pPr>
            <w:r>
              <w:rPr>
                <w:sz w:val="16"/>
                <w:szCs w:val="16"/>
              </w:rPr>
              <w:t>EG</w:t>
            </w:r>
          </w:p>
        </w:tc>
        <w:tc>
          <w:tcPr>
            <w:tcW w:w="1701"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E765D0">
            <w:pPr>
              <w:spacing w:before="120" w:after="120" w:line="200" w:lineRule="exact"/>
              <w:jc w:val="both"/>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E765D0">
            <w:pPr>
              <w:spacing w:before="120" w:after="120" w:line="200" w:lineRule="exact"/>
              <w:jc w:val="both"/>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0F4282">
        <w:tc>
          <w:tcPr>
            <w:tcW w:w="1223" w:type="dxa"/>
          </w:tcPr>
          <w:p w:rsidR="005F5B3D" w:rsidRDefault="005F5B3D" w:rsidP="00E765D0">
            <w:pPr>
              <w:jc w:val="both"/>
              <w:rPr>
                <w:sz w:val="20"/>
              </w:rPr>
            </w:pPr>
          </w:p>
          <w:p w:rsidR="005F5B3D" w:rsidRDefault="00F65092" w:rsidP="00E765D0">
            <w:pPr>
              <w:jc w:val="both"/>
              <w:rPr>
                <w:sz w:val="20"/>
              </w:rPr>
            </w:pPr>
            <w:r>
              <w:rPr>
                <w:sz w:val="20"/>
              </w:rPr>
              <w:t>37-</w:t>
            </w:r>
            <w:r w:rsidR="000A1800">
              <w:rPr>
                <w:sz w:val="20"/>
              </w:rPr>
              <w:t>21</w:t>
            </w:r>
          </w:p>
          <w:p w:rsidR="0011112B" w:rsidRDefault="0011112B" w:rsidP="00E765D0">
            <w:pPr>
              <w:jc w:val="both"/>
              <w:rPr>
                <w:sz w:val="20"/>
              </w:rPr>
            </w:pPr>
          </w:p>
          <w:p w:rsidR="005F5B3D" w:rsidRPr="006E0575" w:rsidRDefault="008F6B52" w:rsidP="00896E8C">
            <w:pPr>
              <w:jc w:val="both"/>
              <w:rPr>
                <w:sz w:val="20"/>
              </w:rPr>
            </w:pPr>
            <w:r>
              <w:rPr>
                <w:sz w:val="20"/>
              </w:rPr>
              <w:t>3720</w:t>
            </w:r>
            <w:r w:rsidR="00E31826">
              <w:rPr>
                <w:sz w:val="20"/>
              </w:rPr>
              <w:t xml:space="preserve"> </w:t>
            </w:r>
            <w:r>
              <w:rPr>
                <w:sz w:val="20"/>
              </w:rPr>
              <w:t>6240</w:t>
            </w:r>
          </w:p>
        </w:tc>
        <w:tc>
          <w:tcPr>
            <w:tcW w:w="1701" w:type="dxa"/>
          </w:tcPr>
          <w:p w:rsidR="005F5B3D" w:rsidRDefault="005F5B3D" w:rsidP="00E765D0">
            <w:pPr>
              <w:jc w:val="both"/>
              <w:rPr>
                <w:sz w:val="20"/>
              </w:rPr>
            </w:pPr>
          </w:p>
          <w:p w:rsidR="005F5B3D" w:rsidRPr="006E0575" w:rsidRDefault="000B0DC4" w:rsidP="00E765D0">
            <w:pPr>
              <w:jc w:val="both"/>
              <w:rPr>
                <w:sz w:val="20"/>
              </w:rPr>
            </w:pPr>
            <w:r>
              <w:rPr>
                <w:sz w:val="20"/>
              </w:rPr>
              <w:t>Branddirektion</w:t>
            </w:r>
          </w:p>
        </w:tc>
        <w:tc>
          <w:tcPr>
            <w:tcW w:w="1312" w:type="dxa"/>
          </w:tcPr>
          <w:p w:rsidR="005F5B3D" w:rsidRDefault="005F5B3D" w:rsidP="00E765D0">
            <w:pPr>
              <w:jc w:val="both"/>
              <w:rPr>
                <w:sz w:val="20"/>
              </w:rPr>
            </w:pPr>
          </w:p>
          <w:p w:rsidR="005F5B3D" w:rsidRDefault="000F4282" w:rsidP="000A1800">
            <w:pPr>
              <w:jc w:val="both"/>
              <w:rPr>
                <w:sz w:val="20"/>
              </w:rPr>
            </w:pPr>
            <w:r>
              <w:rPr>
                <w:sz w:val="20"/>
              </w:rPr>
              <w:t>A 11</w:t>
            </w:r>
          </w:p>
          <w:p w:rsidR="004C3C55" w:rsidRDefault="004C3C55" w:rsidP="000A1800">
            <w:pPr>
              <w:jc w:val="both"/>
              <w:rPr>
                <w:sz w:val="20"/>
              </w:rPr>
            </w:pPr>
          </w:p>
          <w:p w:rsidR="00896E8C" w:rsidRDefault="00896E8C" w:rsidP="000A1800">
            <w:pPr>
              <w:jc w:val="both"/>
              <w:rPr>
                <w:sz w:val="20"/>
              </w:rPr>
            </w:pPr>
          </w:p>
          <w:p w:rsidR="004C3C55" w:rsidRDefault="004C3C55" w:rsidP="000A1800">
            <w:pPr>
              <w:jc w:val="both"/>
              <w:rPr>
                <w:sz w:val="20"/>
              </w:rPr>
            </w:pPr>
            <w:r>
              <w:rPr>
                <w:sz w:val="20"/>
              </w:rPr>
              <w:t>EG 9a</w:t>
            </w:r>
          </w:p>
          <w:p w:rsidR="00896E8C" w:rsidRPr="006E0575" w:rsidRDefault="00896E8C" w:rsidP="000A1800">
            <w:pPr>
              <w:jc w:val="both"/>
              <w:rPr>
                <w:sz w:val="20"/>
              </w:rPr>
            </w:pPr>
          </w:p>
        </w:tc>
        <w:tc>
          <w:tcPr>
            <w:tcW w:w="1701" w:type="dxa"/>
          </w:tcPr>
          <w:p w:rsidR="005F5B3D" w:rsidRDefault="005F5B3D" w:rsidP="00E765D0">
            <w:pPr>
              <w:jc w:val="both"/>
              <w:rPr>
                <w:sz w:val="20"/>
              </w:rPr>
            </w:pPr>
          </w:p>
          <w:p w:rsidR="005F5B3D" w:rsidRDefault="00896E8C" w:rsidP="004C3C55">
            <w:pPr>
              <w:jc w:val="both"/>
              <w:rPr>
                <w:sz w:val="20"/>
              </w:rPr>
            </w:pPr>
            <w:r>
              <w:rPr>
                <w:sz w:val="20"/>
              </w:rPr>
              <w:t>Sachbearbeiter/</w:t>
            </w:r>
            <w:r>
              <w:rPr>
                <w:sz w:val="20"/>
              </w:rPr>
              <w:br/>
              <w:t xml:space="preserve">-in </w:t>
            </w:r>
          </w:p>
          <w:p w:rsidR="004C3C55" w:rsidRDefault="004C3C55" w:rsidP="004C3C55">
            <w:pPr>
              <w:jc w:val="both"/>
              <w:rPr>
                <w:sz w:val="20"/>
              </w:rPr>
            </w:pPr>
          </w:p>
          <w:p w:rsidR="004C3C55" w:rsidRPr="006E0575" w:rsidRDefault="00896E8C" w:rsidP="00896E8C">
            <w:pPr>
              <w:jc w:val="both"/>
              <w:rPr>
                <w:sz w:val="20"/>
              </w:rPr>
            </w:pPr>
            <w:r>
              <w:rPr>
                <w:sz w:val="20"/>
              </w:rPr>
              <w:t>Sachbearbeiter/</w:t>
            </w:r>
            <w:r>
              <w:rPr>
                <w:sz w:val="20"/>
              </w:rPr>
              <w:br/>
              <w:t>-in</w:t>
            </w:r>
          </w:p>
        </w:tc>
        <w:tc>
          <w:tcPr>
            <w:tcW w:w="851" w:type="dxa"/>
            <w:shd w:val="pct12" w:color="auto" w:fill="FFFFFF"/>
          </w:tcPr>
          <w:p w:rsidR="00E31826" w:rsidRDefault="00E31826" w:rsidP="00E765D0">
            <w:pPr>
              <w:jc w:val="both"/>
              <w:rPr>
                <w:sz w:val="20"/>
              </w:rPr>
            </w:pPr>
          </w:p>
          <w:p w:rsidR="005F5B3D" w:rsidRDefault="000B0DC4" w:rsidP="00E765D0">
            <w:pPr>
              <w:jc w:val="both"/>
              <w:rPr>
                <w:sz w:val="20"/>
              </w:rPr>
            </w:pPr>
            <w:r>
              <w:rPr>
                <w:sz w:val="20"/>
              </w:rPr>
              <w:t>1</w:t>
            </w:r>
            <w:r w:rsidR="004C3C55">
              <w:rPr>
                <w:sz w:val="20"/>
              </w:rPr>
              <w:t>,0</w:t>
            </w:r>
          </w:p>
          <w:p w:rsidR="000B0DC4" w:rsidRDefault="000B0DC4" w:rsidP="00E765D0">
            <w:pPr>
              <w:jc w:val="both"/>
              <w:rPr>
                <w:sz w:val="20"/>
              </w:rPr>
            </w:pPr>
          </w:p>
          <w:p w:rsidR="00896E8C" w:rsidRDefault="00896E8C" w:rsidP="00E765D0">
            <w:pPr>
              <w:jc w:val="both"/>
              <w:rPr>
                <w:sz w:val="20"/>
              </w:rPr>
            </w:pPr>
          </w:p>
          <w:p w:rsidR="000B0DC4" w:rsidRPr="006E0575" w:rsidRDefault="000B0DC4" w:rsidP="00E765D0">
            <w:pPr>
              <w:jc w:val="both"/>
              <w:rPr>
                <w:sz w:val="20"/>
              </w:rPr>
            </w:pPr>
            <w:r>
              <w:rPr>
                <w:sz w:val="20"/>
              </w:rPr>
              <w:t>1,0</w:t>
            </w:r>
          </w:p>
        </w:tc>
        <w:tc>
          <w:tcPr>
            <w:tcW w:w="1134" w:type="dxa"/>
          </w:tcPr>
          <w:p w:rsidR="005F5B3D" w:rsidRDefault="005F5B3D" w:rsidP="00E765D0">
            <w:pPr>
              <w:jc w:val="both"/>
              <w:rPr>
                <w:sz w:val="20"/>
              </w:rPr>
            </w:pPr>
          </w:p>
          <w:p w:rsidR="005F5B3D" w:rsidRPr="006E0575" w:rsidRDefault="005F5B3D" w:rsidP="00E765D0">
            <w:pPr>
              <w:jc w:val="both"/>
              <w:rPr>
                <w:sz w:val="20"/>
              </w:rPr>
            </w:pPr>
          </w:p>
        </w:tc>
        <w:tc>
          <w:tcPr>
            <w:tcW w:w="1588" w:type="dxa"/>
          </w:tcPr>
          <w:p w:rsidR="005F5B3D" w:rsidRDefault="005F5B3D" w:rsidP="00E765D0">
            <w:pPr>
              <w:jc w:val="both"/>
              <w:rPr>
                <w:sz w:val="20"/>
              </w:rPr>
            </w:pPr>
          </w:p>
          <w:p w:rsidR="000B0DC4" w:rsidRDefault="001F4C31" w:rsidP="00E765D0">
            <w:pPr>
              <w:jc w:val="both"/>
              <w:rPr>
                <w:sz w:val="20"/>
              </w:rPr>
            </w:pPr>
            <w:r>
              <w:rPr>
                <w:sz w:val="20"/>
              </w:rPr>
              <w:t>111.600</w:t>
            </w:r>
            <w:bookmarkStart w:id="0" w:name="_GoBack"/>
            <w:bookmarkEnd w:id="0"/>
          </w:p>
          <w:p w:rsidR="00896E8C" w:rsidRDefault="00896E8C" w:rsidP="00E765D0">
            <w:pPr>
              <w:jc w:val="both"/>
              <w:rPr>
                <w:sz w:val="20"/>
              </w:rPr>
            </w:pPr>
          </w:p>
          <w:p w:rsidR="00896E8C" w:rsidRDefault="00896E8C" w:rsidP="00E765D0">
            <w:pPr>
              <w:jc w:val="both"/>
              <w:rPr>
                <w:sz w:val="20"/>
              </w:rPr>
            </w:pPr>
          </w:p>
          <w:p w:rsidR="00896E8C" w:rsidRPr="006E0575" w:rsidRDefault="00896E8C" w:rsidP="00E765D0">
            <w:pPr>
              <w:jc w:val="both"/>
              <w:rPr>
                <w:sz w:val="20"/>
              </w:rPr>
            </w:pPr>
            <w:r>
              <w:rPr>
                <w:sz w:val="20"/>
              </w:rPr>
              <w:t>65.400</w:t>
            </w:r>
          </w:p>
        </w:tc>
      </w:tr>
    </w:tbl>
    <w:p w:rsidR="003D7B0B" w:rsidRPr="00884D6C" w:rsidRDefault="006E0575" w:rsidP="00E765D0">
      <w:pPr>
        <w:pStyle w:val="berschrift1"/>
        <w:jc w:val="both"/>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E765D0">
      <w:pPr>
        <w:jc w:val="both"/>
      </w:pPr>
    </w:p>
    <w:p w:rsidR="00E31826" w:rsidRPr="004764D5" w:rsidRDefault="00E31826" w:rsidP="00E31826">
      <w:r w:rsidRPr="004764D5">
        <w:t xml:space="preserve">Geschaffen wird </w:t>
      </w:r>
      <w:r>
        <w:t>1,0</w:t>
      </w:r>
      <w:r w:rsidRPr="004764D5">
        <w:t xml:space="preserve"> S</w:t>
      </w:r>
      <w:r>
        <w:t>achbearbeitungsstelle Katastrophenschutz i</w:t>
      </w:r>
      <w:r w:rsidRPr="004764D5">
        <w:t xml:space="preserve">n </w:t>
      </w:r>
      <w:r w:rsidR="000F4282">
        <w:t>Bes</w:t>
      </w:r>
      <w:r w:rsidR="00896E8C">
        <w:t>.-</w:t>
      </w:r>
      <w:r w:rsidR="000F4282">
        <w:t>Gr. A 11</w:t>
      </w:r>
      <w:r>
        <w:t xml:space="preserve"> sowie 1,0 </w:t>
      </w:r>
      <w:r w:rsidRPr="004764D5">
        <w:t>S</w:t>
      </w:r>
      <w:r>
        <w:t>achbearbeitungsstelle Lagerverwaltung Katastrophenschutz i</w:t>
      </w:r>
      <w:r w:rsidRPr="004764D5">
        <w:t xml:space="preserve">n </w:t>
      </w:r>
      <w:r>
        <w:t xml:space="preserve">EG 9a TVöD </w:t>
      </w:r>
      <w:r w:rsidR="00643C83">
        <w:t xml:space="preserve">für die </w:t>
      </w:r>
      <w:r>
        <w:t xml:space="preserve">Abteilung Einsatz </w:t>
      </w:r>
      <w:r w:rsidRPr="004764D5">
        <w:t>(</w:t>
      </w:r>
      <w:r>
        <w:t>37-2</w:t>
      </w:r>
      <w:r w:rsidRPr="004764D5">
        <w:t xml:space="preserve">) </w:t>
      </w:r>
      <w:r>
        <w:t>bei der Branddirektion</w:t>
      </w:r>
      <w:r w:rsidRPr="004764D5">
        <w:t>.</w:t>
      </w:r>
    </w:p>
    <w:p w:rsidR="003D7B0B" w:rsidRDefault="003D7B0B" w:rsidP="00E765D0">
      <w:pPr>
        <w:pStyle w:val="berschrift1"/>
        <w:jc w:val="both"/>
      </w:pPr>
      <w:r>
        <w:t>2</w:t>
      </w:r>
      <w:r>
        <w:tab/>
        <w:t>Schaffun</w:t>
      </w:r>
      <w:r w:rsidRPr="00884D6C">
        <w:rPr>
          <w:u w:val="none"/>
        </w:rPr>
        <w:t>g</w:t>
      </w:r>
      <w:r>
        <w:t>skriterien</w:t>
      </w:r>
    </w:p>
    <w:p w:rsidR="003D7B0B" w:rsidRDefault="003D7B0B" w:rsidP="00E765D0">
      <w:pPr>
        <w:jc w:val="both"/>
      </w:pPr>
    </w:p>
    <w:p w:rsidR="00AE3E81" w:rsidRDefault="00AE3E81" w:rsidP="00AE3E81">
      <w:r>
        <w:t>Das Kriterium „vom Gemeinderat beschlossene neue bzw. erweiterte Aufgabe“ wird im o.</w:t>
      </w:r>
      <w:r w:rsidR="00896E8C">
        <w:t xml:space="preserve"> </w:t>
      </w:r>
      <w:r>
        <w:t xml:space="preserve">g. Umfang erfüllt. </w:t>
      </w:r>
    </w:p>
    <w:p w:rsidR="003D7B0B" w:rsidRDefault="003D7B0B" w:rsidP="00E765D0">
      <w:pPr>
        <w:pStyle w:val="berschrift1"/>
        <w:jc w:val="both"/>
      </w:pPr>
      <w:r>
        <w:t>3</w:t>
      </w:r>
      <w:r>
        <w:tab/>
        <w:t>Bedarf</w:t>
      </w:r>
    </w:p>
    <w:p w:rsidR="003D7B0B" w:rsidRPr="00884D6C" w:rsidRDefault="00884D6C" w:rsidP="00E765D0">
      <w:pPr>
        <w:pStyle w:val="berschrift2"/>
        <w:jc w:val="both"/>
      </w:pPr>
      <w:r w:rsidRPr="00884D6C">
        <w:t>3.1</w:t>
      </w:r>
      <w:r w:rsidRPr="00884D6C">
        <w:tab/>
      </w:r>
      <w:r w:rsidR="006E0575" w:rsidRPr="00884D6C">
        <w:t>Anlass</w:t>
      </w:r>
    </w:p>
    <w:p w:rsidR="00EB180B" w:rsidRDefault="00EB180B" w:rsidP="001D1B1E"/>
    <w:p w:rsidR="00D57A24" w:rsidRDefault="001D1B1E" w:rsidP="001D1B1E">
      <w:r>
        <w:t xml:space="preserve">Für die </w:t>
      </w:r>
      <w:r w:rsidR="00D57A24" w:rsidRPr="004764D5">
        <w:t>S</w:t>
      </w:r>
      <w:r w:rsidR="00D57A24">
        <w:t xml:space="preserve">achbearbeitung Katastrophenschutz sowie die Sachbearbeitung Lagerverwaltung Katastrophenschutz wurden mit GRDrs. 239/2022 </w:t>
      </w:r>
      <w:r w:rsidR="00EB180B">
        <w:t>„</w:t>
      </w:r>
      <w:r w:rsidR="00D57A24" w:rsidRPr="00643C83">
        <w:t>Aktuelle Entwicklungen im Flüchtlingsbereich aufgrund des Krieges in der Ukraine</w:t>
      </w:r>
      <w:r w:rsidR="00EB180B">
        <w:t>“</w:t>
      </w:r>
      <w:r w:rsidR="00D57A24" w:rsidRPr="00643C83">
        <w:t xml:space="preserve"> die entsprechenden Ermächtigungen für die Branddirektion beschlossen. </w:t>
      </w:r>
    </w:p>
    <w:p w:rsidR="00902D1E" w:rsidRDefault="00902D1E" w:rsidP="00902D1E">
      <w:pPr>
        <w:jc w:val="both"/>
      </w:pPr>
    </w:p>
    <w:p w:rsidR="00EB180B" w:rsidRDefault="00902D1E" w:rsidP="00EB180B">
      <w:pPr>
        <w:jc w:val="both"/>
      </w:pPr>
      <w:r>
        <w:t>Mit diesen beiden Funktionen werden Ämter, Eigenbetriebe und sonstige Organisationseinheiten bei der Bewältigung von außergewöhnlichen Schadensereignissen unterstützt. Um künftig besser auf Krisen vorbereitet zu sein, sollten reale Ereignisse systematisch nachbereitet werden. Hierfür bietet sich eine externe Moderation durch die Branddirektion an. Wie die jüngsten Krisen (z.</w:t>
      </w:r>
      <w:r w:rsidR="00896E8C">
        <w:t xml:space="preserve"> </w:t>
      </w:r>
      <w:r>
        <w:t xml:space="preserve">B. Pandemie, Ukraine) gezeigt haben, besteht bei den Ämtern, Eigenbetrieben und sonstigen Organisationseinheiten ein hoher Beratungs- und Unterstützungsbedarf durch die Branddirektion. Aufgrund der aktuellen geopolitischen und klimatischen Situation wird dies vermutlich anhalten, da künftig mit weiteren Krisen zu rechnen ist. </w:t>
      </w:r>
    </w:p>
    <w:p w:rsidR="00EB180B" w:rsidRDefault="00EB180B" w:rsidP="00EB180B">
      <w:pPr>
        <w:jc w:val="both"/>
      </w:pPr>
    </w:p>
    <w:p w:rsidR="00AD6525" w:rsidRDefault="00643C83" w:rsidP="00EB180B">
      <w:pPr>
        <w:jc w:val="both"/>
      </w:pPr>
      <w:r>
        <w:lastRenderedPageBreak/>
        <w:t xml:space="preserve">Die Funktion der Sachbearbeitung Katastrophenschutz ist verbunden mit der </w:t>
      </w:r>
      <w:r w:rsidR="001D1B1E">
        <w:t xml:space="preserve">Mitwirkung im Verwaltungs- und Führungsstab, </w:t>
      </w:r>
      <w:r>
        <w:t xml:space="preserve">der </w:t>
      </w:r>
      <w:r w:rsidR="001D1B1E">
        <w:t xml:space="preserve">Einsatzfunktion als Leitungsdienst, </w:t>
      </w:r>
      <w:r>
        <w:t xml:space="preserve">der </w:t>
      </w:r>
      <w:r w:rsidR="001D1B1E">
        <w:t>Unterstützung anderer Ämter bei der Bewältigung von außergewöhnlichen Schadenslagen, d</w:t>
      </w:r>
      <w:r>
        <w:t>er</w:t>
      </w:r>
      <w:r w:rsidR="001D1B1E">
        <w:t xml:space="preserve"> Erstellung, Fortschreibung und Überwachung von Einsatzkonzepten, -planungen und </w:t>
      </w:r>
      <w:r w:rsidR="00896E8C">
        <w:br/>
      </w:r>
      <w:r w:rsidR="001D1B1E">
        <w:t xml:space="preserve">-standards für außergewöhnliche Schadenslagen (GSE-Module), </w:t>
      </w:r>
      <w:r>
        <w:t xml:space="preserve">der </w:t>
      </w:r>
      <w:r w:rsidR="001D1B1E">
        <w:t xml:space="preserve">Mitwirkung bei der Planung und Festlegung der Katastrophenschutzausstattung sowie </w:t>
      </w:r>
      <w:r>
        <w:t xml:space="preserve">der </w:t>
      </w:r>
      <w:r w:rsidR="001D1B1E">
        <w:t>Mitwirkung bei der Durchführung und Auswertung von Übungen, Stabsrahmen- und Katastrophenschutzübungen</w:t>
      </w:r>
      <w:r>
        <w:t xml:space="preserve">. </w:t>
      </w:r>
    </w:p>
    <w:p w:rsidR="00643C83" w:rsidRDefault="00643C83" w:rsidP="001D1B1E"/>
    <w:p w:rsidR="00902D1E" w:rsidRDefault="00643C83" w:rsidP="00643C83">
      <w:r w:rsidRPr="00EB180B">
        <w:t xml:space="preserve">Aufgabe der Sachbearbeitung Lagerverwaltung Katastrophenschutz ist die </w:t>
      </w:r>
      <w:r>
        <w:t>Überwachung des Lagerbestandes, die Ausgabe von Einsatzmitteln, die Koordination der Geräteprüfung, die Instandhaltung von Einsatzmitteln sowie die Ersatzbeschaffung von Verbrauchsmaterialien und Einsatzmitteln des Katastrophenschutzes</w:t>
      </w:r>
      <w:r w:rsidR="00902D1E">
        <w:t>.</w:t>
      </w:r>
    </w:p>
    <w:p w:rsidR="00902D1E" w:rsidRDefault="00902D1E" w:rsidP="00643C83"/>
    <w:p w:rsidR="00A87325" w:rsidRDefault="00E449A7" w:rsidP="00E765D0">
      <w:pPr>
        <w:jc w:val="both"/>
      </w:pPr>
      <w:r>
        <w:t xml:space="preserve">Wie die aktuelle Ukraine-Krise zeigt, müssen ad hoc </w:t>
      </w:r>
      <w:r w:rsidR="008F7023">
        <w:t>situationsbedingte</w:t>
      </w:r>
      <w:r>
        <w:t xml:space="preserve"> Einsatzkonzepte </w:t>
      </w:r>
      <w:r w:rsidR="00D85B0C">
        <w:t xml:space="preserve">von der Unteren Katastrophenschutzbehörde </w:t>
      </w:r>
      <w:r>
        <w:t>erstellt werden (z.</w:t>
      </w:r>
      <w:r w:rsidR="00896E8C">
        <w:t xml:space="preserve"> </w:t>
      </w:r>
      <w:r>
        <w:t xml:space="preserve">B. Notfalltreffpunkt, Wärmestuben). </w:t>
      </w:r>
      <w:r w:rsidR="00A87325">
        <w:t>Hierbei besteht ein großer Abstimmungsbedarf mit anderen Behörden und Organisationen (z.</w:t>
      </w:r>
      <w:r w:rsidR="00896E8C">
        <w:t xml:space="preserve"> </w:t>
      </w:r>
      <w:r w:rsidR="00A87325">
        <w:t>B. Aufsichtsbehörden, Energieversorgungsunternehmen). Sollte eine zeitnahe Bearbeitung nicht möglich sein, kann sich dies massiv auf den Schutz der Bevölkerung auswirken.</w:t>
      </w:r>
    </w:p>
    <w:p w:rsidR="003D7B0B" w:rsidRPr="00165C0D" w:rsidRDefault="003D7B0B" w:rsidP="00E765D0">
      <w:pPr>
        <w:pStyle w:val="berschrift2"/>
        <w:jc w:val="both"/>
      </w:pPr>
      <w:r w:rsidRPr="00165C0D">
        <w:t>3.2</w:t>
      </w:r>
      <w:r w:rsidRPr="00165C0D">
        <w:tab/>
        <w:t>Bisherige Aufgabenwahrnehmung</w:t>
      </w:r>
    </w:p>
    <w:p w:rsidR="003D7B0B" w:rsidRDefault="003D7B0B" w:rsidP="00E765D0">
      <w:pPr>
        <w:jc w:val="both"/>
      </w:pPr>
    </w:p>
    <w:p w:rsidR="00A31973" w:rsidRPr="00C55D1E" w:rsidRDefault="00C55D1E" w:rsidP="00E765D0">
      <w:pPr>
        <w:jc w:val="both"/>
      </w:pPr>
      <w:r w:rsidRPr="00C55D1E">
        <w:t xml:space="preserve">Die genannten Aufgaben </w:t>
      </w:r>
      <w:r w:rsidR="00EB180B">
        <w:t xml:space="preserve">im Bereich Sachbearbeitung Katastrophenschutz </w:t>
      </w:r>
      <w:r w:rsidRPr="00C55D1E">
        <w:t xml:space="preserve">wurden </w:t>
      </w:r>
      <w:r w:rsidR="00467FE9">
        <w:t xml:space="preserve">bislang </w:t>
      </w:r>
      <w:r w:rsidRPr="00C55D1E">
        <w:t>von 2,63 Stellen bearbeitet. Wie die vergangenen Krisen (z.</w:t>
      </w:r>
      <w:r w:rsidR="00896E8C">
        <w:t xml:space="preserve"> </w:t>
      </w:r>
      <w:r w:rsidRPr="00C55D1E">
        <w:t xml:space="preserve">B. Pandemie, Ukraine-Krise) gezeigt haben, ist </w:t>
      </w:r>
      <w:r w:rsidR="00467FE9">
        <w:t>die personelle Ausstattung diesbezüglich nicht auskömmlich.</w:t>
      </w:r>
    </w:p>
    <w:p w:rsidR="00A31973" w:rsidRPr="00423C2E" w:rsidRDefault="00A31973" w:rsidP="00E765D0">
      <w:pPr>
        <w:jc w:val="both"/>
      </w:pPr>
    </w:p>
    <w:p w:rsidR="00A31973" w:rsidRDefault="00EB180B" w:rsidP="00E765D0">
      <w:pPr>
        <w:jc w:val="both"/>
      </w:pPr>
      <w:r>
        <w:t>Für die Sachbearbeitung Lagerverwaltung Katastrophenschutz s</w:t>
      </w:r>
      <w:r w:rsidR="00C55D1E" w:rsidRPr="00C55D1E">
        <w:t xml:space="preserve">tanden </w:t>
      </w:r>
      <w:r>
        <w:t xml:space="preserve">bisher </w:t>
      </w:r>
      <w:r w:rsidR="00C55D1E" w:rsidRPr="00C55D1E">
        <w:t>keine Stellen zur Verfügung.</w:t>
      </w:r>
    </w:p>
    <w:p w:rsidR="00467FE9" w:rsidRPr="00C55D1E" w:rsidRDefault="00467FE9" w:rsidP="00E765D0">
      <w:pPr>
        <w:jc w:val="both"/>
      </w:pPr>
    </w:p>
    <w:p w:rsidR="003D7B0B" w:rsidRDefault="006E0575" w:rsidP="00E765D0">
      <w:pPr>
        <w:pStyle w:val="berschrift2"/>
        <w:jc w:val="both"/>
      </w:pPr>
      <w:r>
        <w:t>3.3</w:t>
      </w:r>
      <w:r w:rsidR="003D7B0B">
        <w:tab/>
        <w:t>Auswirkungen bei Ablehnung der Stellenschaffungen</w:t>
      </w:r>
    </w:p>
    <w:p w:rsidR="003D7B0B" w:rsidRDefault="003D7B0B" w:rsidP="00E765D0">
      <w:pPr>
        <w:jc w:val="both"/>
      </w:pPr>
    </w:p>
    <w:p w:rsidR="00C55D1E" w:rsidRPr="00C55D1E" w:rsidRDefault="00C55D1E" w:rsidP="00C55D1E">
      <w:pPr>
        <w:jc w:val="both"/>
      </w:pPr>
      <w:r>
        <w:t>Die Ämter, Eigenbetriebe und sonstige Organisationseinheiten können sowohl fachlich als auch personell nicht adäquat unterstützt werden. Ferner ist eine zeitnahe Entwicklung von situationsbedingten Einsatzkonzepten (z.</w:t>
      </w:r>
      <w:r w:rsidR="00896E8C">
        <w:t xml:space="preserve"> </w:t>
      </w:r>
      <w:r>
        <w:t>B. Notfalltreffpunkte, Wärmestuben) nicht möglich. Dies wirkt sich unmittelbar auf den Dienstbetrieb der Landeshauptstadt sowie den Schutz der Bevölkerung aus.</w:t>
      </w:r>
    </w:p>
    <w:p w:rsidR="00C55D1E" w:rsidRPr="00C55D1E" w:rsidRDefault="00C55D1E" w:rsidP="00C55D1E">
      <w:pPr>
        <w:jc w:val="both"/>
      </w:pPr>
    </w:p>
    <w:p w:rsidR="00C55D1E" w:rsidRPr="00C55D1E" w:rsidRDefault="00C55D1E" w:rsidP="00C55D1E">
      <w:pPr>
        <w:jc w:val="both"/>
      </w:pPr>
      <w:r>
        <w:t>Eine ausreichende Vorhaltung von funktionsfähigen Geräten und Materialien zur Bewältigung von außergewöhnlichen Schadenslagen kann nicht gesichert werden. Dies wirkt sich unmittelbar auf den Dienstbetrieb der Landeshauptstadt sowie den Schutz der Bevölkerung aus</w:t>
      </w:r>
      <w:r w:rsidR="00706757">
        <w:t xml:space="preserve"> und hat ggf</w:t>
      </w:r>
      <w:r>
        <w:t>.</w:t>
      </w:r>
      <w:r w:rsidR="00706757">
        <w:t xml:space="preserve"> haftungsrelevante Folgen.</w:t>
      </w:r>
    </w:p>
    <w:p w:rsidR="003D7B0B" w:rsidRDefault="00884D6C" w:rsidP="00E765D0">
      <w:pPr>
        <w:pStyle w:val="berschrift1"/>
        <w:jc w:val="both"/>
      </w:pPr>
      <w:r>
        <w:t>4</w:t>
      </w:r>
      <w:r>
        <w:tab/>
      </w:r>
      <w:r w:rsidR="003D7B0B">
        <w:t>Stellenvermerke</w:t>
      </w:r>
    </w:p>
    <w:p w:rsidR="00896E8C" w:rsidRDefault="00896E8C" w:rsidP="00E765D0">
      <w:pPr>
        <w:jc w:val="both"/>
      </w:pPr>
    </w:p>
    <w:p w:rsidR="003D7B0B" w:rsidRDefault="00896E8C" w:rsidP="00E765D0">
      <w:pPr>
        <w:jc w:val="both"/>
      </w:pPr>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6F" w:rsidRDefault="000A3E6F">
      <w:r>
        <w:separator/>
      </w:r>
    </w:p>
  </w:endnote>
  <w:endnote w:type="continuationSeparator" w:id="0">
    <w:p w:rsidR="000A3E6F" w:rsidRDefault="000A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6F" w:rsidRDefault="000A3E6F">
      <w:r>
        <w:separator/>
      </w:r>
    </w:p>
  </w:footnote>
  <w:footnote w:type="continuationSeparator" w:id="0">
    <w:p w:rsidR="000A3E6F" w:rsidRDefault="000A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F4C3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2062D3"/>
    <w:multiLevelType w:val="hybridMultilevel"/>
    <w:tmpl w:val="0DEC7E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7F92A2F"/>
    <w:multiLevelType w:val="hybridMultilevel"/>
    <w:tmpl w:val="164257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CC0870"/>
    <w:multiLevelType w:val="hybridMultilevel"/>
    <w:tmpl w:val="F08AA02A"/>
    <w:lvl w:ilvl="0" w:tplc="6DDC11D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6F422FC"/>
    <w:multiLevelType w:val="hybridMultilevel"/>
    <w:tmpl w:val="6F0A6A46"/>
    <w:lvl w:ilvl="0" w:tplc="1B6669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8"/>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F"/>
    <w:rsid w:val="0000053C"/>
    <w:rsid w:val="00020EA6"/>
    <w:rsid w:val="00026253"/>
    <w:rsid w:val="00055758"/>
    <w:rsid w:val="00061F0B"/>
    <w:rsid w:val="00083853"/>
    <w:rsid w:val="00084A28"/>
    <w:rsid w:val="000A1146"/>
    <w:rsid w:val="000A1800"/>
    <w:rsid w:val="000A3E6F"/>
    <w:rsid w:val="000A56C4"/>
    <w:rsid w:val="000A6C0B"/>
    <w:rsid w:val="000B0DC4"/>
    <w:rsid w:val="000B1A18"/>
    <w:rsid w:val="000E3E0E"/>
    <w:rsid w:val="000F4282"/>
    <w:rsid w:val="00101BAF"/>
    <w:rsid w:val="001034AF"/>
    <w:rsid w:val="001048BD"/>
    <w:rsid w:val="0011112B"/>
    <w:rsid w:val="0014415D"/>
    <w:rsid w:val="00151488"/>
    <w:rsid w:val="00153F53"/>
    <w:rsid w:val="00163034"/>
    <w:rsid w:val="00164678"/>
    <w:rsid w:val="00165C0D"/>
    <w:rsid w:val="0016797B"/>
    <w:rsid w:val="00181857"/>
    <w:rsid w:val="00184EDC"/>
    <w:rsid w:val="00194770"/>
    <w:rsid w:val="0019489F"/>
    <w:rsid w:val="001A13B8"/>
    <w:rsid w:val="001A5F9B"/>
    <w:rsid w:val="001C11A3"/>
    <w:rsid w:val="001D1B1E"/>
    <w:rsid w:val="001F4C31"/>
    <w:rsid w:val="001F7237"/>
    <w:rsid w:val="002073A2"/>
    <w:rsid w:val="00214057"/>
    <w:rsid w:val="00232ECB"/>
    <w:rsid w:val="002924CB"/>
    <w:rsid w:val="002A20D1"/>
    <w:rsid w:val="002A4DE3"/>
    <w:rsid w:val="002B2EF6"/>
    <w:rsid w:val="002B5955"/>
    <w:rsid w:val="002E59A6"/>
    <w:rsid w:val="002E5E16"/>
    <w:rsid w:val="0030686C"/>
    <w:rsid w:val="00380937"/>
    <w:rsid w:val="003976DB"/>
    <w:rsid w:val="00397717"/>
    <w:rsid w:val="003A2EC5"/>
    <w:rsid w:val="003D7B0B"/>
    <w:rsid w:val="003E0F4B"/>
    <w:rsid w:val="003F0FAA"/>
    <w:rsid w:val="003F5549"/>
    <w:rsid w:val="00421885"/>
    <w:rsid w:val="00423C2E"/>
    <w:rsid w:val="00445B4C"/>
    <w:rsid w:val="00463324"/>
    <w:rsid w:val="00467FE9"/>
    <w:rsid w:val="00470135"/>
    <w:rsid w:val="0047606A"/>
    <w:rsid w:val="004908B5"/>
    <w:rsid w:val="0049121B"/>
    <w:rsid w:val="00496396"/>
    <w:rsid w:val="004A1688"/>
    <w:rsid w:val="004B5689"/>
    <w:rsid w:val="004B6796"/>
    <w:rsid w:val="004C3C55"/>
    <w:rsid w:val="00500E77"/>
    <w:rsid w:val="0050462F"/>
    <w:rsid w:val="005A0A9D"/>
    <w:rsid w:val="005A56AA"/>
    <w:rsid w:val="005C4269"/>
    <w:rsid w:val="005E19C6"/>
    <w:rsid w:val="005F5B3D"/>
    <w:rsid w:val="00606F80"/>
    <w:rsid w:val="00622CC7"/>
    <w:rsid w:val="00643C83"/>
    <w:rsid w:val="00645332"/>
    <w:rsid w:val="00691CC1"/>
    <w:rsid w:val="006A406B"/>
    <w:rsid w:val="006B12A8"/>
    <w:rsid w:val="006B519E"/>
    <w:rsid w:val="006B6D50"/>
    <w:rsid w:val="006E0575"/>
    <w:rsid w:val="00706757"/>
    <w:rsid w:val="00714AB4"/>
    <w:rsid w:val="0072799A"/>
    <w:rsid w:val="00754659"/>
    <w:rsid w:val="007920AF"/>
    <w:rsid w:val="007E2207"/>
    <w:rsid w:val="007E3B79"/>
    <w:rsid w:val="00802612"/>
    <w:rsid w:val="008066EE"/>
    <w:rsid w:val="00816690"/>
    <w:rsid w:val="00817BB6"/>
    <w:rsid w:val="00876AF9"/>
    <w:rsid w:val="008778B6"/>
    <w:rsid w:val="00884D6C"/>
    <w:rsid w:val="00896E8C"/>
    <w:rsid w:val="008A16A2"/>
    <w:rsid w:val="008B7B57"/>
    <w:rsid w:val="008F5FBC"/>
    <w:rsid w:val="008F64C8"/>
    <w:rsid w:val="008F6B52"/>
    <w:rsid w:val="008F7023"/>
    <w:rsid w:val="00902A07"/>
    <w:rsid w:val="00902D1E"/>
    <w:rsid w:val="00903A69"/>
    <w:rsid w:val="00917AA0"/>
    <w:rsid w:val="00920F00"/>
    <w:rsid w:val="00921595"/>
    <w:rsid w:val="009373F6"/>
    <w:rsid w:val="0093783D"/>
    <w:rsid w:val="00940540"/>
    <w:rsid w:val="00946276"/>
    <w:rsid w:val="0096038F"/>
    <w:rsid w:val="009658CF"/>
    <w:rsid w:val="00976588"/>
    <w:rsid w:val="00A02DC7"/>
    <w:rsid w:val="00A22F44"/>
    <w:rsid w:val="00A27CA7"/>
    <w:rsid w:val="00A31973"/>
    <w:rsid w:val="00A45B30"/>
    <w:rsid w:val="00A71D0A"/>
    <w:rsid w:val="00A77F1E"/>
    <w:rsid w:val="00A847C4"/>
    <w:rsid w:val="00A87325"/>
    <w:rsid w:val="00AB389D"/>
    <w:rsid w:val="00AD6525"/>
    <w:rsid w:val="00AE3E81"/>
    <w:rsid w:val="00AE7B02"/>
    <w:rsid w:val="00AF0DEA"/>
    <w:rsid w:val="00AF25E0"/>
    <w:rsid w:val="00B019D2"/>
    <w:rsid w:val="00B04290"/>
    <w:rsid w:val="00B30041"/>
    <w:rsid w:val="00B719EB"/>
    <w:rsid w:val="00B80DEF"/>
    <w:rsid w:val="00B86BB5"/>
    <w:rsid w:val="00B91903"/>
    <w:rsid w:val="00BC4669"/>
    <w:rsid w:val="00BD60B9"/>
    <w:rsid w:val="00BF4E0C"/>
    <w:rsid w:val="00C16EF1"/>
    <w:rsid w:val="00C172D9"/>
    <w:rsid w:val="00C36903"/>
    <w:rsid w:val="00C448D3"/>
    <w:rsid w:val="00C47919"/>
    <w:rsid w:val="00C55D1E"/>
    <w:rsid w:val="00CF62E5"/>
    <w:rsid w:val="00CF67B1"/>
    <w:rsid w:val="00D40494"/>
    <w:rsid w:val="00D54CAD"/>
    <w:rsid w:val="00D56178"/>
    <w:rsid w:val="00D57A24"/>
    <w:rsid w:val="00D611EC"/>
    <w:rsid w:val="00D66D3A"/>
    <w:rsid w:val="00D743D4"/>
    <w:rsid w:val="00D85B0C"/>
    <w:rsid w:val="00DB3D6C"/>
    <w:rsid w:val="00DC2DAE"/>
    <w:rsid w:val="00DE362D"/>
    <w:rsid w:val="00E014B6"/>
    <w:rsid w:val="00E0262A"/>
    <w:rsid w:val="00E1162F"/>
    <w:rsid w:val="00E11D5F"/>
    <w:rsid w:val="00E20E1F"/>
    <w:rsid w:val="00E22444"/>
    <w:rsid w:val="00E23CA4"/>
    <w:rsid w:val="00E31826"/>
    <w:rsid w:val="00E42F96"/>
    <w:rsid w:val="00E449A7"/>
    <w:rsid w:val="00E678A8"/>
    <w:rsid w:val="00E7118F"/>
    <w:rsid w:val="00E765D0"/>
    <w:rsid w:val="00E93FAF"/>
    <w:rsid w:val="00EB180B"/>
    <w:rsid w:val="00EF01AE"/>
    <w:rsid w:val="00F17B9D"/>
    <w:rsid w:val="00F27657"/>
    <w:rsid w:val="00F342DC"/>
    <w:rsid w:val="00F56F93"/>
    <w:rsid w:val="00F63041"/>
    <w:rsid w:val="00F65092"/>
    <w:rsid w:val="00F76452"/>
    <w:rsid w:val="00F83899"/>
    <w:rsid w:val="00FC016A"/>
    <w:rsid w:val="00FC61C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8CF3"/>
  <w15:docId w15:val="{2A529894-04C1-4974-BBD9-CDFADB5B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0E3E0E"/>
    <w:pPr>
      <w:ind w:left="720"/>
      <w:contextualSpacing/>
    </w:pPr>
  </w:style>
  <w:style w:type="paragraph" w:styleId="Sprechblasentext">
    <w:name w:val="Balloon Text"/>
    <w:basedOn w:val="Standard"/>
    <w:link w:val="SprechblasentextZchn"/>
    <w:semiHidden/>
    <w:unhideWhenUsed/>
    <w:rsid w:val="00896E8C"/>
    <w:rPr>
      <w:rFonts w:ascii="Segoe UI" w:hAnsi="Segoe UI" w:cs="Segoe UI"/>
      <w:sz w:val="18"/>
      <w:szCs w:val="18"/>
    </w:rPr>
  </w:style>
  <w:style w:type="character" w:customStyle="1" w:styleId="SprechblasentextZchn">
    <w:name w:val="Sprechblasentext Zchn"/>
    <w:basedOn w:val="Absatz-Standardschriftart"/>
    <w:link w:val="Sprechblasentext"/>
    <w:semiHidden/>
    <w:rsid w:val="00896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7b549\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Frauhammer, Falk</dc:creator>
  <cp:lastModifiedBy>Baumann, Gerhard</cp:lastModifiedBy>
  <cp:revision>11</cp:revision>
  <cp:lastPrinted>2023-09-27T14:00:00Z</cp:lastPrinted>
  <dcterms:created xsi:type="dcterms:W3CDTF">2023-01-11T14:03:00Z</dcterms:created>
  <dcterms:modified xsi:type="dcterms:W3CDTF">2023-09-27T14:03:00Z</dcterms:modified>
</cp:coreProperties>
</file>