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9002B">
        <w:t>20</w:t>
      </w:r>
      <w:r w:rsidRPr="006E0575">
        <w:t xml:space="preserve"> zur GRDrs</w:t>
      </w:r>
      <w:r w:rsidR="009E0DFC">
        <w:t>.</w:t>
      </w:r>
      <w:r w:rsidRPr="006E0575">
        <w:t xml:space="preserve"> </w:t>
      </w:r>
      <w:r w:rsidR="009E0DFC">
        <w:t>821</w:t>
      </w:r>
      <w:r w:rsidR="005F5B3D">
        <w:t>/20</w:t>
      </w:r>
      <w:r w:rsidR="0013472D">
        <w:t>23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B3E6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A309B" w:rsidRDefault="00035643" w:rsidP="0030686C">
            <w:pPr>
              <w:rPr>
                <w:sz w:val="20"/>
              </w:rPr>
            </w:pPr>
            <w:r>
              <w:rPr>
                <w:sz w:val="20"/>
              </w:rPr>
              <w:t>32-42</w:t>
            </w:r>
          </w:p>
          <w:p w:rsidR="006A309B" w:rsidRDefault="006A309B" w:rsidP="0030686C">
            <w:pPr>
              <w:rPr>
                <w:sz w:val="20"/>
              </w:rPr>
            </w:pPr>
          </w:p>
          <w:p w:rsidR="005F5B3D" w:rsidRDefault="00146B53" w:rsidP="0030686C">
            <w:pPr>
              <w:rPr>
                <w:sz w:val="20"/>
              </w:rPr>
            </w:pPr>
            <w:r>
              <w:rPr>
                <w:sz w:val="20"/>
              </w:rPr>
              <w:t>3242</w:t>
            </w:r>
            <w:r w:rsidR="009E0DFC">
              <w:rPr>
                <w:sz w:val="20"/>
              </w:rPr>
              <w:t xml:space="preserve"> </w:t>
            </w:r>
            <w:r>
              <w:rPr>
                <w:sz w:val="20"/>
              </w:rPr>
              <w:t>5421</w:t>
            </w:r>
          </w:p>
          <w:p w:rsidR="005F5B3D" w:rsidRPr="006E0575" w:rsidRDefault="005F5B3D" w:rsidP="006A309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35643" w:rsidP="00F960B3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 w:rsidR="00F960B3">
              <w:rPr>
                <w:sz w:val="20"/>
              </w:rPr>
              <w:br/>
            </w:r>
            <w:r>
              <w:rPr>
                <w:sz w:val="20"/>
              </w:rPr>
              <w:t xml:space="preserve">öffentliche </w:t>
            </w:r>
            <w:r w:rsidR="00F960B3">
              <w:rPr>
                <w:sz w:val="20"/>
              </w:rPr>
              <w:br/>
            </w:r>
            <w:r>
              <w:rPr>
                <w:sz w:val="20"/>
              </w:rPr>
              <w:t>Ordnung</w:t>
            </w:r>
          </w:p>
          <w:p w:rsidR="00F960B3" w:rsidRPr="006E0575" w:rsidRDefault="00F960B3" w:rsidP="00F960B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46B53" w:rsidRDefault="00146B53" w:rsidP="0030686C">
            <w:pPr>
              <w:rPr>
                <w:sz w:val="20"/>
              </w:rPr>
            </w:pPr>
          </w:p>
          <w:p w:rsidR="005F5B3D" w:rsidRPr="006E0575" w:rsidRDefault="00146B53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A309B">
              <w:rPr>
                <w:sz w:val="20"/>
              </w:rPr>
              <w:t xml:space="preserve"> </w:t>
            </w:r>
            <w:r w:rsidR="004A4906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A4906" w:rsidP="0030686C">
            <w:pPr>
              <w:rPr>
                <w:sz w:val="20"/>
              </w:rPr>
            </w:pPr>
            <w:r>
              <w:rPr>
                <w:sz w:val="20"/>
              </w:rPr>
              <w:t>Sachgebietsleiter</w:t>
            </w:r>
            <w:r w:rsidR="009E0DFC">
              <w:rPr>
                <w:sz w:val="20"/>
              </w:rPr>
              <w:t>/ -</w:t>
            </w:r>
            <w:r w:rsidR="00146B53">
              <w:rPr>
                <w:sz w:val="20"/>
              </w:rPr>
              <w:t>in Bürgerbüro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A4906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D7C2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146B53" w:rsidRDefault="00146B53" w:rsidP="0030686C">
            <w:pPr>
              <w:rPr>
                <w:sz w:val="20"/>
              </w:rPr>
            </w:pPr>
          </w:p>
          <w:p w:rsidR="005F5B3D" w:rsidRPr="006E0575" w:rsidRDefault="00035643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E0DFC" w:rsidP="009E0DFC">
            <w:pPr>
              <w:rPr>
                <w:sz w:val="20"/>
              </w:rPr>
            </w:pPr>
            <w:r>
              <w:rPr>
                <w:sz w:val="20"/>
              </w:rPr>
              <w:t>117.100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121EA" w:rsidRDefault="005D3E45" w:rsidP="00146B53">
      <w:r>
        <w:t>Der</w:t>
      </w:r>
      <w:r w:rsidR="000D7C28">
        <w:t xml:space="preserve"> Schaffung von </w:t>
      </w:r>
      <w:r w:rsidR="004A4906">
        <w:t>1</w:t>
      </w:r>
      <w:r w:rsidR="000D7C28">
        <w:t>,0</w:t>
      </w:r>
      <w:r w:rsidR="00146B53" w:rsidRPr="00F75B79">
        <w:rPr>
          <w:color w:val="FF0000"/>
        </w:rPr>
        <w:t xml:space="preserve"> </w:t>
      </w:r>
      <w:r w:rsidR="00146B53">
        <w:t>Stelle in Besoldungsgruppe A</w:t>
      </w:r>
      <w:r w:rsidR="001B62E9">
        <w:t xml:space="preserve"> </w:t>
      </w:r>
      <w:r w:rsidR="004A4906">
        <w:t>12</w:t>
      </w:r>
      <w:r w:rsidR="00146B53">
        <w:t xml:space="preserve"> </w:t>
      </w:r>
      <w:r w:rsidR="00CB6ACA" w:rsidRPr="00196D55">
        <w:t xml:space="preserve">für eine 4. Sachgebietsleitung </w:t>
      </w:r>
      <w:r w:rsidR="00914935" w:rsidRPr="00196D55">
        <w:t>z</w:t>
      </w:r>
      <w:r w:rsidR="00914935">
        <w:t xml:space="preserve">ur </w:t>
      </w:r>
      <w:r w:rsidR="00237C13">
        <w:t>Reduzierung der Leitungsspanne und Gewährleistung der Wahrnehmung der Führungsaufgaben</w:t>
      </w:r>
      <w:r>
        <w:t xml:space="preserve"> wird zugestimmt</w:t>
      </w:r>
      <w:r w:rsidR="00E73523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96D55" w:rsidRPr="00D8183F" w:rsidRDefault="00033D8B" w:rsidP="00884D6C">
      <w:bookmarkStart w:id="0" w:name="_GoBack"/>
      <w:r>
        <w:t>Feststellung des Stellenbedarfs aufgrund Beschlusses der „Task Force Bürgerbüros und Ausländerbehörde“</w:t>
      </w:r>
      <w:r w:rsidR="005D3E45">
        <w:t>.</w:t>
      </w:r>
    </w:p>
    <w:bookmarkEnd w:id="0"/>
    <w:p w:rsidR="003D7B0B" w:rsidRPr="00D8183F" w:rsidRDefault="003D7B0B" w:rsidP="00884D6C">
      <w:pPr>
        <w:pStyle w:val="berschrift1"/>
      </w:pPr>
      <w:r w:rsidRPr="00D8183F">
        <w:t>3</w:t>
      </w:r>
      <w:r w:rsidRPr="00D8183F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BB3E6F" w:rsidRPr="006E0575" w:rsidRDefault="00BB3E6F" w:rsidP="00BB3E6F">
      <w:r>
        <w:t xml:space="preserve">Ausbau </w:t>
      </w:r>
      <w:r w:rsidR="00E73523">
        <w:t xml:space="preserve">und Fortentwicklung </w:t>
      </w:r>
      <w:r>
        <w:t xml:space="preserve">des Angebots digitaler Leistungen im Bereich Einwohnerwesen, von Querschnitts-Projekten zur Service-Verbesserung </w:t>
      </w:r>
      <w:r w:rsidR="00F960B3">
        <w:t>sowie</w:t>
      </w:r>
      <w:r>
        <w:t xml:space="preserve"> </w:t>
      </w:r>
      <w:r w:rsidR="00F960B3">
        <w:t xml:space="preserve">Verbesserung </w:t>
      </w:r>
      <w:r>
        <w:t>der Einarbeitung</w:t>
      </w:r>
      <w:r w:rsidR="00F960B3">
        <w:t>s-</w:t>
      </w:r>
      <w:r>
        <w:t>, Aus- und Fortbildung</w:t>
      </w:r>
      <w:r w:rsidR="00F960B3">
        <w:t>squalität.</w:t>
      </w:r>
    </w:p>
    <w:p w:rsidR="00165C00" w:rsidRPr="006E0575" w:rsidRDefault="00165C00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237C13" w:rsidRDefault="00237C13" w:rsidP="00237C13">
      <w:r w:rsidRPr="007F1B99">
        <w:t xml:space="preserve">Mit </w:t>
      </w:r>
      <w:r w:rsidR="00AA0A49">
        <w:t xml:space="preserve">der </w:t>
      </w:r>
      <w:r w:rsidRPr="007F1B99">
        <w:t>Organisationsuntersuchung 2017 wurde die Organisation der Bürgerbüros n</w:t>
      </w:r>
      <w:r>
        <w:t xml:space="preserve">eustrukturiert, die Partnergruppen neu eingeteilt und ein drittes Sachgebiet eingerichtet. </w:t>
      </w:r>
    </w:p>
    <w:p w:rsidR="00237C13" w:rsidRDefault="00237C13" w:rsidP="00237C13"/>
    <w:p w:rsidR="00A31210" w:rsidRPr="00A31210" w:rsidRDefault="00237C13" w:rsidP="00A31210">
      <w:r w:rsidRPr="00237C13">
        <w:t xml:space="preserve">Im Jahr 2020 wurde ein Digitales Bürgerbürgerbüro mit 4 Sachbearbeiterstellen </w:t>
      </w:r>
      <w:r w:rsidR="00E73523">
        <w:t xml:space="preserve">zur Bearbeitung digital eingehender Anträge </w:t>
      </w:r>
      <w:r w:rsidRPr="00237C13">
        <w:t>eingerichtet (davon 2,8 Stellen neu geschaffen zum Stellenplan 2</w:t>
      </w:r>
      <w:r w:rsidR="00111050">
        <w:t>02</w:t>
      </w:r>
      <w:r w:rsidRPr="00237C13">
        <w:t>2</w:t>
      </w:r>
      <w:r w:rsidR="00CB6ACA" w:rsidRPr="00196D55">
        <w:t>, GRDrs. 853 Anl. 8 + 81/2021</w:t>
      </w:r>
      <w:r w:rsidRPr="00196D55">
        <w:t xml:space="preserve">). </w:t>
      </w:r>
      <w:r w:rsidRPr="00237C13">
        <w:t xml:space="preserve">Im Rahmen des OZG sind zahlreiche Leistungen der Bürgerbüros in eine digitale Antragstellung und Bearbeitung überzuleiten. </w:t>
      </w:r>
      <w:r w:rsidR="00A31210" w:rsidRPr="00A31210">
        <w:t>Die Dienststelle Bürgerbüros unterstützt intensiv die</w:t>
      </w:r>
      <w:r w:rsidR="009A1AC9">
        <w:t xml:space="preserve"> </w:t>
      </w:r>
      <w:r w:rsidR="00FC4FAB">
        <w:t>Digital Mover von Amt 32 und DO.</w:t>
      </w:r>
      <w:r w:rsidR="009A1AC9">
        <w:t>IT</w:t>
      </w:r>
      <w:r w:rsidR="00A31210" w:rsidRPr="00A31210">
        <w:t xml:space="preserve"> bei der Optimierung des Universalprozesses für die Umsetzung der OZG-</w:t>
      </w:r>
      <w:r w:rsidR="00A31210" w:rsidRPr="00A31210">
        <w:lastRenderedPageBreak/>
        <w:t xml:space="preserve">Leistungen in die städtische Verwaltungspraxis. </w:t>
      </w:r>
      <w:r w:rsidRPr="00237C13">
        <w:t xml:space="preserve">Dieser zusätzliche Aufwand war zum Zeitpunkt der </w:t>
      </w:r>
      <w:r w:rsidRPr="00A31210">
        <w:t xml:space="preserve">Organisationsuntersuchung 2017 nicht absehbar und wurde bei der damaligen Neustrukturierung der Dienststelle nicht berücksichtigt. </w:t>
      </w:r>
      <w:r w:rsidR="00A31210" w:rsidRPr="00A31210">
        <w:t>Es zeigt sich</w:t>
      </w:r>
      <w:r w:rsidR="00A31210">
        <w:t xml:space="preserve"> bereits jetzt</w:t>
      </w:r>
      <w:r w:rsidR="00A31210" w:rsidRPr="00A31210">
        <w:t xml:space="preserve">, dass eine anhaltende </w:t>
      </w:r>
      <w:r w:rsidR="00A31210">
        <w:t xml:space="preserve">fachliche </w:t>
      </w:r>
      <w:r w:rsidR="00A31210" w:rsidRPr="00A31210">
        <w:t>Fortentwicklung der digitalen Angebote aus dem Bereich Einwohnerwesen dauerhaft notwendig sein wird.</w:t>
      </w:r>
    </w:p>
    <w:p w:rsidR="00A31210" w:rsidRDefault="00A31210" w:rsidP="00A31210"/>
    <w:p w:rsidR="00237C13" w:rsidRPr="00D8183F" w:rsidRDefault="00237C13" w:rsidP="00237C13">
      <w:pPr>
        <w:pStyle w:val="Default"/>
        <w:rPr>
          <w:color w:val="auto"/>
        </w:rPr>
      </w:pPr>
      <w:r w:rsidRPr="00A31210">
        <w:t xml:space="preserve">Darüber hinaus sind künftig noch weitere Querschnitts-Projekte zur Service-Verbesserung wie Bürgerkoffer, Ausgabeterminal, Selfterminal, Bürgerterminal, Fahrradkurier, Videoberatung, Ausweitung Online-Terminvergabe, Inbetriebnahme Signaturpads etc. </w:t>
      </w:r>
      <w:r w:rsidR="00196D55" w:rsidRPr="00D8183F">
        <w:rPr>
          <w:color w:val="auto"/>
        </w:rPr>
        <w:t xml:space="preserve">strategisch </w:t>
      </w:r>
      <w:r w:rsidRPr="00D8183F">
        <w:rPr>
          <w:color w:val="auto"/>
        </w:rPr>
        <w:t xml:space="preserve">zu </w:t>
      </w:r>
      <w:r w:rsidR="00196D55" w:rsidRPr="00D8183F">
        <w:rPr>
          <w:color w:val="auto"/>
        </w:rPr>
        <w:t>planen und</w:t>
      </w:r>
      <w:r w:rsidRPr="00D8183F">
        <w:rPr>
          <w:color w:val="auto"/>
        </w:rPr>
        <w:t xml:space="preserve"> weiterzuentwickeln. Die dr</w:t>
      </w:r>
      <w:r w:rsidR="00A168BF">
        <w:rPr>
          <w:color w:val="auto"/>
        </w:rPr>
        <w:t>ei Sachgebietsleitungen können i</w:t>
      </w:r>
      <w:r w:rsidRPr="00D8183F">
        <w:rPr>
          <w:color w:val="auto"/>
        </w:rPr>
        <w:t xml:space="preserve">hren Führungs- und Fachaufgaben aufgrund der großen </w:t>
      </w:r>
      <w:r w:rsidR="00CB6ACA" w:rsidRPr="00D8183F">
        <w:rPr>
          <w:color w:val="auto"/>
        </w:rPr>
        <w:t>Leitung</w:t>
      </w:r>
      <w:r w:rsidRPr="00D8183F">
        <w:rPr>
          <w:color w:val="auto"/>
        </w:rPr>
        <w:t>s</w:t>
      </w:r>
      <w:r w:rsidR="00CB6ACA" w:rsidRPr="00D8183F">
        <w:rPr>
          <w:color w:val="auto"/>
        </w:rPr>
        <w:t>s</w:t>
      </w:r>
      <w:r w:rsidRPr="00D8183F">
        <w:rPr>
          <w:color w:val="auto"/>
        </w:rPr>
        <w:t>panne</w:t>
      </w:r>
      <w:r w:rsidR="00CB6ACA" w:rsidRPr="00D8183F">
        <w:rPr>
          <w:color w:val="auto"/>
        </w:rPr>
        <w:t xml:space="preserve"> (</w:t>
      </w:r>
      <w:r w:rsidR="00196D55" w:rsidRPr="00D8183F">
        <w:rPr>
          <w:color w:val="auto"/>
        </w:rPr>
        <w:t>1:51</w:t>
      </w:r>
      <w:r w:rsidR="001335DE">
        <w:rPr>
          <w:color w:val="auto"/>
        </w:rPr>
        <w:t>,</w:t>
      </w:r>
      <w:r w:rsidR="00196D55" w:rsidRPr="00D8183F">
        <w:rPr>
          <w:color w:val="auto"/>
        </w:rPr>
        <w:t xml:space="preserve"> 1:64 + stellvertretende Dienststellenleitung, 1:74</w:t>
      </w:r>
      <w:r w:rsidR="00CB6ACA" w:rsidRPr="00D8183F">
        <w:rPr>
          <w:color w:val="auto"/>
        </w:rPr>
        <w:t>)</w:t>
      </w:r>
      <w:r w:rsidRPr="00D8183F">
        <w:rPr>
          <w:color w:val="auto"/>
        </w:rPr>
        <w:t xml:space="preserve">, dem hohen organisatorischen Steuerungsaufwand </w:t>
      </w:r>
      <w:r w:rsidR="00E73523" w:rsidRPr="00D8183F">
        <w:rPr>
          <w:color w:val="auto"/>
        </w:rPr>
        <w:t xml:space="preserve">aufgrund bestehender Dezentralität </w:t>
      </w:r>
      <w:r w:rsidRPr="00D8183F">
        <w:rPr>
          <w:color w:val="auto"/>
        </w:rPr>
        <w:t xml:space="preserve">und der aktuell und </w:t>
      </w:r>
      <w:r w:rsidR="003A519A" w:rsidRPr="00D8183F">
        <w:rPr>
          <w:color w:val="auto"/>
        </w:rPr>
        <w:t xml:space="preserve">auch </w:t>
      </w:r>
      <w:r w:rsidRPr="00D8183F">
        <w:rPr>
          <w:color w:val="auto"/>
        </w:rPr>
        <w:t>künftig großen Anzahl an umzusetzenden Fach</w:t>
      </w:r>
      <w:r w:rsidR="00A31210" w:rsidRPr="00D8183F">
        <w:rPr>
          <w:color w:val="auto"/>
        </w:rPr>
        <w:t>-, Service- und Digitalisierungs</w:t>
      </w:r>
      <w:r w:rsidRPr="00D8183F">
        <w:rPr>
          <w:color w:val="auto"/>
        </w:rPr>
        <w:t>themen nur noch unzureichend nachkommen.</w:t>
      </w:r>
    </w:p>
    <w:p w:rsidR="00237C13" w:rsidRDefault="00237C13" w:rsidP="00237C13"/>
    <w:p w:rsidR="00A31210" w:rsidRPr="00D8183F" w:rsidRDefault="00237C13" w:rsidP="00237C13">
      <w:pPr>
        <w:pStyle w:val="Default"/>
        <w:rPr>
          <w:color w:val="auto"/>
        </w:rPr>
      </w:pPr>
      <w:r w:rsidRPr="00237C13">
        <w:t xml:space="preserve">Zum </w:t>
      </w:r>
      <w:r w:rsidR="00A168BF">
        <w:t>0</w:t>
      </w:r>
      <w:r w:rsidRPr="00237C13">
        <w:t xml:space="preserve">1.12.2022 </w:t>
      </w:r>
      <w:r w:rsidR="00553320">
        <w:t>wurde</w:t>
      </w:r>
      <w:r w:rsidRPr="00237C13">
        <w:t xml:space="preserve"> das Interims-Einarbeitungs- und Ausbildungsbürgerbüro räumlich eingerichtet und </w:t>
      </w:r>
      <w:r w:rsidR="00553320">
        <w:t>nimmt in Folge seinen Betrieb auf</w:t>
      </w:r>
      <w:r w:rsidRPr="00237C13">
        <w:t xml:space="preserve">. </w:t>
      </w:r>
      <w:r w:rsidR="00553320">
        <w:t xml:space="preserve">Der Aufbau, die </w:t>
      </w:r>
      <w:r w:rsidRPr="00237C13">
        <w:t>inhaltliche</w:t>
      </w:r>
      <w:r w:rsidR="00553320">
        <w:t xml:space="preserve"> und bereits jetzt vorgesehen</w:t>
      </w:r>
      <w:r w:rsidR="001335DE">
        <w:t>e</w:t>
      </w:r>
      <w:r w:rsidR="00553320">
        <w:t xml:space="preserve"> k</w:t>
      </w:r>
      <w:r w:rsidRPr="00237C13">
        <w:t>apazitätsmäßige Weiterentwicklung können mit der aktuellen Organisationsstruktur nicht geleistet werden. Es sind Konzepte für die Einarbeitung und Ausbild</w:t>
      </w:r>
      <w:r w:rsidR="00553320">
        <w:t>ung zu erstellen</w:t>
      </w:r>
      <w:r w:rsidR="00CB6ACA">
        <w:rPr>
          <w:color w:val="FF0000"/>
        </w:rPr>
        <w:t xml:space="preserve">. </w:t>
      </w:r>
      <w:r w:rsidR="00CB6ACA" w:rsidRPr="00196D55">
        <w:rPr>
          <w:color w:val="auto"/>
        </w:rPr>
        <w:t>D</w:t>
      </w:r>
      <w:r w:rsidR="00553320" w:rsidRPr="00196D55">
        <w:rPr>
          <w:color w:val="auto"/>
        </w:rPr>
        <w:t xml:space="preserve">as </w:t>
      </w:r>
      <w:r w:rsidR="00CB6ACA" w:rsidRPr="00196D55">
        <w:rPr>
          <w:color w:val="auto"/>
        </w:rPr>
        <w:t xml:space="preserve">jetzige </w:t>
      </w:r>
      <w:r w:rsidR="00553320">
        <w:t>Interims-</w:t>
      </w:r>
      <w:r w:rsidRPr="00237C13">
        <w:t>EAB mit 5 Einarbeitungsplätzen und 6 Ein</w:t>
      </w:r>
      <w:r w:rsidR="001335DE">
        <w:t>zu</w:t>
      </w:r>
      <w:r w:rsidRPr="00237C13">
        <w:t>arbeitende</w:t>
      </w:r>
      <w:r w:rsidR="00A31210">
        <w:t>n soll zeitnah</w:t>
      </w:r>
      <w:r w:rsidRPr="00237C13">
        <w:t xml:space="preserve"> auf </w:t>
      </w:r>
      <w:r w:rsidR="00350519" w:rsidRPr="00196D55">
        <w:rPr>
          <w:color w:val="auto"/>
        </w:rPr>
        <w:t xml:space="preserve">die ursprünglich geplanten </w:t>
      </w:r>
      <w:r w:rsidRPr="00237C13">
        <w:t xml:space="preserve">18 Arbeitsplätzen erweitert </w:t>
      </w:r>
      <w:r w:rsidRPr="00D8183F">
        <w:rPr>
          <w:color w:val="auto"/>
        </w:rPr>
        <w:t>werden</w:t>
      </w:r>
      <w:r w:rsidR="00CB6ACA" w:rsidRPr="00D8183F">
        <w:rPr>
          <w:color w:val="auto"/>
        </w:rPr>
        <w:t>,</w:t>
      </w:r>
      <w:r w:rsidR="00553320" w:rsidRPr="00D8183F">
        <w:rPr>
          <w:color w:val="auto"/>
        </w:rPr>
        <w:t xml:space="preserve"> um möglichst rasch alle </w:t>
      </w:r>
      <w:r w:rsidR="003A519A" w:rsidRPr="00D8183F">
        <w:rPr>
          <w:color w:val="auto"/>
        </w:rPr>
        <w:t xml:space="preserve">vakanten </w:t>
      </w:r>
      <w:r w:rsidR="00553320" w:rsidRPr="00D8183F">
        <w:rPr>
          <w:color w:val="auto"/>
        </w:rPr>
        <w:t xml:space="preserve">Stellen </w:t>
      </w:r>
      <w:r w:rsidR="00350519" w:rsidRPr="00D8183F">
        <w:rPr>
          <w:color w:val="auto"/>
        </w:rPr>
        <w:t>nach</w:t>
      </w:r>
      <w:r w:rsidR="00553320" w:rsidRPr="00D8183F">
        <w:rPr>
          <w:color w:val="auto"/>
        </w:rPr>
        <w:t>besetzen zu können</w:t>
      </w:r>
      <w:r w:rsidRPr="00D8183F">
        <w:rPr>
          <w:color w:val="auto"/>
        </w:rPr>
        <w:t xml:space="preserve">. </w:t>
      </w:r>
    </w:p>
    <w:p w:rsidR="00A31210" w:rsidRPr="00D8183F" w:rsidRDefault="00A31210" w:rsidP="00237C13">
      <w:pPr>
        <w:pStyle w:val="Default"/>
        <w:rPr>
          <w:color w:val="auto"/>
        </w:rPr>
      </w:pPr>
    </w:p>
    <w:p w:rsidR="00237C13" w:rsidRPr="00D8183F" w:rsidRDefault="00237C13" w:rsidP="00237C13">
      <w:pPr>
        <w:pStyle w:val="Default"/>
        <w:rPr>
          <w:color w:val="auto"/>
        </w:rPr>
      </w:pPr>
      <w:r w:rsidRPr="00D8183F">
        <w:rPr>
          <w:color w:val="auto"/>
        </w:rPr>
        <w:t>Darüber hinaus besteht auch unter den aktuellen Mitarbeitenden ein</w:t>
      </w:r>
      <w:r w:rsidR="00350519" w:rsidRPr="00D8183F">
        <w:rPr>
          <w:color w:val="auto"/>
        </w:rPr>
        <w:t xml:space="preserve"> </w:t>
      </w:r>
      <w:r w:rsidR="00196D55" w:rsidRPr="00D8183F">
        <w:rPr>
          <w:color w:val="auto"/>
        </w:rPr>
        <w:t>dauerhaft</w:t>
      </w:r>
      <w:r w:rsidRPr="00D8183F">
        <w:rPr>
          <w:color w:val="auto"/>
        </w:rPr>
        <w:t xml:space="preserve"> hoher Schulungsbedarf. </w:t>
      </w:r>
      <w:r w:rsidR="00196D55" w:rsidRPr="00D8183F">
        <w:rPr>
          <w:color w:val="auto"/>
        </w:rPr>
        <w:t xml:space="preserve">Dieser Bedarf ist regelmäßig zu erheben, festzulegen und weiter zu entwickeln. </w:t>
      </w:r>
      <w:r w:rsidR="005A2AF1" w:rsidRPr="00D8183F">
        <w:rPr>
          <w:color w:val="auto"/>
        </w:rPr>
        <w:t>Des Weiteren muss auch die</w:t>
      </w:r>
      <w:r w:rsidRPr="00D8183F">
        <w:rPr>
          <w:color w:val="auto"/>
        </w:rPr>
        <w:t xml:space="preserve"> Personalentwicklung in den nächsten Jahr</w:t>
      </w:r>
      <w:r w:rsidR="00196D55" w:rsidRPr="00D8183F">
        <w:rPr>
          <w:color w:val="auto"/>
        </w:rPr>
        <w:t>en intensiv vorangebracht</w:t>
      </w:r>
      <w:r w:rsidR="00350519" w:rsidRPr="00D8183F">
        <w:rPr>
          <w:color w:val="auto"/>
        </w:rPr>
        <w:t>,</w:t>
      </w:r>
      <w:r w:rsidRPr="00D8183F">
        <w:rPr>
          <w:color w:val="auto"/>
        </w:rPr>
        <w:t xml:space="preserve"> </w:t>
      </w:r>
      <w:r w:rsidR="00196D55" w:rsidRPr="00D8183F">
        <w:rPr>
          <w:color w:val="auto"/>
        </w:rPr>
        <w:t xml:space="preserve">und perspektivisch von den Führungskräften für die Dienststelle </w:t>
      </w:r>
      <w:r w:rsidR="0008036E" w:rsidRPr="00D8183F">
        <w:rPr>
          <w:color w:val="auto"/>
        </w:rPr>
        <w:t xml:space="preserve">geplant und </w:t>
      </w:r>
      <w:r w:rsidR="003A519A" w:rsidRPr="00D8183F">
        <w:rPr>
          <w:color w:val="auto"/>
        </w:rPr>
        <w:t>festgelegt</w:t>
      </w:r>
      <w:r w:rsidR="00196D55" w:rsidRPr="00D8183F">
        <w:rPr>
          <w:color w:val="auto"/>
        </w:rPr>
        <w:t xml:space="preserve"> werden, </w:t>
      </w:r>
      <w:r w:rsidRPr="00D8183F">
        <w:rPr>
          <w:color w:val="auto"/>
        </w:rPr>
        <w:t>um Mitarbeitende möglichst rasch für die internen</w:t>
      </w:r>
      <w:r w:rsidR="00350519" w:rsidRPr="00D8183F">
        <w:rPr>
          <w:color w:val="auto"/>
        </w:rPr>
        <w:t>,</w:t>
      </w:r>
      <w:r w:rsidRPr="00D8183F">
        <w:rPr>
          <w:color w:val="auto"/>
        </w:rPr>
        <w:t xml:space="preserve"> </w:t>
      </w:r>
      <w:r w:rsidR="00350519" w:rsidRPr="00D8183F">
        <w:rPr>
          <w:color w:val="auto"/>
        </w:rPr>
        <w:t xml:space="preserve">derzeit </w:t>
      </w:r>
      <w:r w:rsidRPr="00D8183F">
        <w:rPr>
          <w:color w:val="auto"/>
        </w:rPr>
        <w:t>kaum zu besetzenden Leitungspositionen zu qualifizieren. Insbesondere junge und unerfahrene Mitarbeitende sind bei der Übernahme von Leitungsfunktionen engmaschig von Vorgesetzten zu begleiten und zu unterstützen</w:t>
      </w:r>
      <w:r w:rsidR="001335DE">
        <w:rPr>
          <w:color w:val="auto"/>
        </w:rPr>
        <w:t>,</w:t>
      </w:r>
      <w:r w:rsidRPr="00D8183F">
        <w:rPr>
          <w:color w:val="auto"/>
        </w:rPr>
        <w:t xml:space="preserve"> um Überforderung zu vermeiden und die Übernahme von Führungsfunktionen/Verantwortungspositionen wieder attraktiver zu machen.</w:t>
      </w:r>
    </w:p>
    <w:p w:rsidR="00237C13" w:rsidRPr="00D8183F" w:rsidRDefault="00237C13" w:rsidP="00237C13">
      <w:pPr>
        <w:pStyle w:val="Default"/>
        <w:rPr>
          <w:color w:val="auto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146B53" w:rsidRDefault="00146B53" w:rsidP="00146B53"/>
    <w:p w:rsidR="00146B53" w:rsidRDefault="00486AEB" w:rsidP="00146B53">
      <w:r>
        <w:t xml:space="preserve">Der Ausbau des digitalen Angebotes </w:t>
      </w:r>
      <w:r w:rsidR="00E73523">
        <w:t xml:space="preserve">und die Umsetzung weiterer Angebote zur Serviceverbesserung für die Bürger werden </w:t>
      </w:r>
      <w:r>
        <w:t>sich zeitlich verzögern</w:t>
      </w:r>
      <w:r w:rsidR="00E73523">
        <w:t>. Es wird zu weiterem Fortbildungs- und Qualifizierungsstau bei den vorhandenen Mitarbeitenden kommen. F</w:t>
      </w:r>
      <w:r w:rsidR="00425D5D">
        <w:t>rei</w:t>
      </w:r>
      <w:r w:rsidR="00E73523">
        <w:t>werdende Stellen in Führungspositionen, insbesondere Bürgerbüroleitungen und Leitungsspringerfunktionen</w:t>
      </w:r>
      <w:r w:rsidR="00E73523" w:rsidRPr="00C14ACB">
        <w:t>,</w:t>
      </w:r>
      <w:r w:rsidR="000B0EC9" w:rsidRPr="00C14ACB">
        <w:t xml:space="preserve"> können</w:t>
      </w:r>
      <w:r w:rsidR="00E73523" w:rsidRPr="00C14ACB">
        <w:t xml:space="preserve"> nicht zeitnah </w:t>
      </w:r>
      <w:r w:rsidR="000B0EC9" w:rsidRPr="00C14ACB">
        <w:t>nach</w:t>
      </w:r>
      <w:r w:rsidR="00C14ACB" w:rsidRPr="00C14ACB">
        <w:t>besetzt werden</w:t>
      </w:r>
      <w:r w:rsidR="00E73523" w:rsidRPr="00C14ACB">
        <w:t xml:space="preserve">, was wiederum längerfristige Schließungen von einzelnen Standorten </w:t>
      </w:r>
      <w:r w:rsidR="000B0EC9" w:rsidRPr="00C14ACB">
        <w:t xml:space="preserve">zur Folge hat. </w:t>
      </w:r>
      <w:r w:rsidR="00E73523" w:rsidRPr="00C14ACB">
        <w:t xml:space="preserve"> </w:t>
      </w:r>
      <w:r w:rsidRPr="00C14ACB">
        <w:t xml:space="preserve"> </w:t>
      </w:r>
    </w:p>
    <w:p w:rsidR="00C14ACB" w:rsidRPr="00D8183F" w:rsidRDefault="003A519A" w:rsidP="00146B53">
      <w:r w:rsidRPr="00D8183F">
        <w:t xml:space="preserve">Ohne eine </w:t>
      </w:r>
      <w:r w:rsidR="00C14ACB" w:rsidRPr="00D8183F">
        <w:t>Qualifizierungs- und Entwicklungsperspektiv</w:t>
      </w:r>
      <w:r w:rsidR="00D46E06">
        <w:t>e</w:t>
      </w:r>
      <w:r w:rsidR="00C14ACB" w:rsidRPr="00D8183F">
        <w:t xml:space="preserve"> ist mit weiteren Verlusten von qualifizierten Mitarbeitenden in der Sachbearbeitung zu rechnen.</w:t>
      </w:r>
    </w:p>
    <w:p w:rsidR="003D7B0B" w:rsidRPr="00D8183F" w:rsidRDefault="00884D6C" w:rsidP="00884D6C">
      <w:pPr>
        <w:pStyle w:val="berschrift1"/>
      </w:pPr>
      <w:r w:rsidRPr="00D8183F">
        <w:t>4</w:t>
      </w:r>
      <w:r w:rsidRPr="00D8183F">
        <w:tab/>
      </w:r>
      <w:r w:rsidR="003D7B0B" w:rsidRPr="00D8183F">
        <w:t>Stellenvermerke</w:t>
      </w:r>
    </w:p>
    <w:p w:rsidR="00DE362D" w:rsidRDefault="005D3E45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37" w:rsidRDefault="00CF3937">
      <w:r>
        <w:separator/>
      </w:r>
    </w:p>
  </w:endnote>
  <w:endnote w:type="continuationSeparator" w:id="0">
    <w:p w:rsidR="00CF3937" w:rsidRDefault="00C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37" w:rsidRDefault="00CF3937">
      <w:r>
        <w:separator/>
      </w:r>
    </w:p>
  </w:footnote>
  <w:footnote w:type="continuationSeparator" w:id="0">
    <w:p w:rsidR="00CF3937" w:rsidRDefault="00CF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33D8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0743265"/>
    <w:multiLevelType w:val="hybridMultilevel"/>
    <w:tmpl w:val="1A34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3"/>
    <w:rsid w:val="00033D8B"/>
    <w:rsid w:val="00035643"/>
    <w:rsid w:val="00055758"/>
    <w:rsid w:val="0008036E"/>
    <w:rsid w:val="000A1146"/>
    <w:rsid w:val="000B0EC9"/>
    <w:rsid w:val="000D203B"/>
    <w:rsid w:val="000D7C28"/>
    <w:rsid w:val="001034AF"/>
    <w:rsid w:val="00111050"/>
    <w:rsid w:val="0011112B"/>
    <w:rsid w:val="001335DE"/>
    <w:rsid w:val="0013472D"/>
    <w:rsid w:val="001370AD"/>
    <w:rsid w:val="0014415D"/>
    <w:rsid w:val="00146B53"/>
    <w:rsid w:val="00151488"/>
    <w:rsid w:val="00163034"/>
    <w:rsid w:val="00164678"/>
    <w:rsid w:val="00165C00"/>
    <w:rsid w:val="00165C0D"/>
    <w:rsid w:val="001745B5"/>
    <w:rsid w:val="00181857"/>
    <w:rsid w:val="00184EDC"/>
    <w:rsid w:val="00194770"/>
    <w:rsid w:val="00196D55"/>
    <w:rsid w:val="001A5F9B"/>
    <w:rsid w:val="001B62E9"/>
    <w:rsid w:val="001F25D2"/>
    <w:rsid w:val="001F7237"/>
    <w:rsid w:val="00237C13"/>
    <w:rsid w:val="0025278D"/>
    <w:rsid w:val="002924CB"/>
    <w:rsid w:val="00295618"/>
    <w:rsid w:val="002A20D1"/>
    <w:rsid w:val="002A3A27"/>
    <w:rsid w:val="002A4DE3"/>
    <w:rsid w:val="002B5955"/>
    <w:rsid w:val="0030686C"/>
    <w:rsid w:val="00350519"/>
    <w:rsid w:val="00380937"/>
    <w:rsid w:val="00397717"/>
    <w:rsid w:val="003A519A"/>
    <w:rsid w:val="003D7B0B"/>
    <w:rsid w:val="003F0FAA"/>
    <w:rsid w:val="00425D5D"/>
    <w:rsid w:val="00470135"/>
    <w:rsid w:val="0047606A"/>
    <w:rsid w:val="00486AEB"/>
    <w:rsid w:val="0049002B"/>
    <w:rsid w:val="004908B5"/>
    <w:rsid w:val="0049121B"/>
    <w:rsid w:val="004A1688"/>
    <w:rsid w:val="004A4906"/>
    <w:rsid w:val="004B6796"/>
    <w:rsid w:val="00553320"/>
    <w:rsid w:val="005A0A9D"/>
    <w:rsid w:val="005A2AF1"/>
    <w:rsid w:val="005A56AA"/>
    <w:rsid w:val="005D3E45"/>
    <w:rsid w:val="005E19C6"/>
    <w:rsid w:val="005F5B3D"/>
    <w:rsid w:val="00606F80"/>
    <w:rsid w:val="00622CC7"/>
    <w:rsid w:val="006641A3"/>
    <w:rsid w:val="006A309B"/>
    <w:rsid w:val="006A406B"/>
    <w:rsid w:val="006B6D50"/>
    <w:rsid w:val="006E0575"/>
    <w:rsid w:val="006E461B"/>
    <w:rsid w:val="0072799A"/>
    <w:rsid w:val="00754659"/>
    <w:rsid w:val="00766211"/>
    <w:rsid w:val="007B50B4"/>
    <w:rsid w:val="007E3B79"/>
    <w:rsid w:val="008066EE"/>
    <w:rsid w:val="00817BB6"/>
    <w:rsid w:val="0088405B"/>
    <w:rsid w:val="00884D6C"/>
    <w:rsid w:val="00914935"/>
    <w:rsid w:val="00920F00"/>
    <w:rsid w:val="009373F6"/>
    <w:rsid w:val="00950AE7"/>
    <w:rsid w:val="00976588"/>
    <w:rsid w:val="009A1AC9"/>
    <w:rsid w:val="009B1BF2"/>
    <w:rsid w:val="009B31AC"/>
    <w:rsid w:val="009E0DFC"/>
    <w:rsid w:val="00A168BF"/>
    <w:rsid w:val="00A2694D"/>
    <w:rsid w:val="00A27CA7"/>
    <w:rsid w:val="00A31210"/>
    <w:rsid w:val="00A45B30"/>
    <w:rsid w:val="00A50115"/>
    <w:rsid w:val="00A600B4"/>
    <w:rsid w:val="00A71D0A"/>
    <w:rsid w:val="00A74B5B"/>
    <w:rsid w:val="00A77F1E"/>
    <w:rsid w:val="00A847C4"/>
    <w:rsid w:val="00AA0A49"/>
    <w:rsid w:val="00AB389D"/>
    <w:rsid w:val="00AC64E8"/>
    <w:rsid w:val="00AE7B02"/>
    <w:rsid w:val="00AF0DEA"/>
    <w:rsid w:val="00AF25E0"/>
    <w:rsid w:val="00B024EA"/>
    <w:rsid w:val="00B04290"/>
    <w:rsid w:val="00B2459E"/>
    <w:rsid w:val="00B53CC9"/>
    <w:rsid w:val="00B54CDD"/>
    <w:rsid w:val="00B722D9"/>
    <w:rsid w:val="00B80DEF"/>
    <w:rsid w:val="00B86BB5"/>
    <w:rsid w:val="00B91903"/>
    <w:rsid w:val="00BB3E6F"/>
    <w:rsid w:val="00BC4669"/>
    <w:rsid w:val="00C14ACB"/>
    <w:rsid w:val="00C16EF1"/>
    <w:rsid w:val="00C34A9A"/>
    <w:rsid w:val="00C354A4"/>
    <w:rsid w:val="00C448D3"/>
    <w:rsid w:val="00C65982"/>
    <w:rsid w:val="00C87635"/>
    <w:rsid w:val="00CB6ACA"/>
    <w:rsid w:val="00CF3937"/>
    <w:rsid w:val="00CF62E5"/>
    <w:rsid w:val="00D46E06"/>
    <w:rsid w:val="00D66D3A"/>
    <w:rsid w:val="00D743D4"/>
    <w:rsid w:val="00D8183F"/>
    <w:rsid w:val="00DB3D6C"/>
    <w:rsid w:val="00DE362D"/>
    <w:rsid w:val="00E014B6"/>
    <w:rsid w:val="00E1162F"/>
    <w:rsid w:val="00E11D5F"/>
    <w:rsid w:val="00E121EA"/>
    <w:rsid w:val="00E20E1F"/>
    <w:rsid w:val="00E42F96"/>
    <w:rsid w:val="00E60E82"/>
    <w:rsid w:val="00E7118F"/>
    <w:rsid w:val="00E73523"/>
    <w:rsid w:val="00E751F7"/>
    <w:rsid w:val="00F070F8"/>
    <w:rsid w:val="00F21997"/>
    <w:rsid w:val="00F27657"/>
    <w:rsid w:val="00F342DC"/>
    <w:rsid w:val="00F56F93"/>
    <w:rsid w:val="00F63041"/>
    <w:rsid w:val="00F75B79"/>
    <w:rsid w:val="00F76452"/>
    <w:rsid w:val="00F960B3"/>
    <w:rsid w:val="00FC4FA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69327"/>
  <w15:docId w15:val="{DF8B739A-C84C-4E2A-8AEB-7372628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A5011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237C13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Della Pina, Silvia</dc:creator>
  <cp:lastModifiedBy>Baumann, Gerhard</cp:lastModifiedBy>
  <cp:revision>12</cp:revision>
  <cp:lastPrinted>2023-10-31T07:04:00Z</cp:lastPrinted>
  <dcterms:created xsi:type="dcterms:W3CDTF">2023-01-20T12:49:00Z</dcterms:created>
  <dcterms:modified xsi:type="dcterms:W3CDTF">2023-10-31T07:04:00Z</dcterms:modified>
</cp:coreProperties>
</file>