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741C48" w:rsidP="00397717">
      <w:pPr>
        <w:jc w:val="right"/>
      </w:pPr>
      <w:r>
        <w:t xml:space="preserve"> </w:t>
      </w:r>
      <w:r w:rsidR="003D7B0B" w:rsidRPr="006E0575">
        <w:t xml:space="preserve">Anlage </w:t>
      </w:r>
      <w:r w:rsidR="00654A26">
        <w:t>7</w:t>
      </w:r>
      <w:r w:rsidR="003D7B0B" w:rsidRPr="006E0575">
        <w:t xml:space="preserve"> zur GRDrs</w:t>
      </w:r>
      <w:r w:rsidR="00BC68C9">
        <w:t>.</w:t>
      </w:r>
      <w:r w:rsidR="003D7B0B" w:rsidRPr="006E0575">
        <w:t xml:space="preserve"> </w:t>
      </w:r>
      <w:r w:rsidR="00BC68C9">
        <w:t>820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58378D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88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34"/>
        <w:gridCol w:w="1627"/>
        <w:gridCol w:w="1285"/>
        <w:gridCol w:w="1891"/>
        <w:gridCol w:w="838"/>
        <w:gridCol w:w="1324"/>
        <w:gridCol w:w="1588"/>
      </w:tblGrid>
      <w:tr w:rsidR="005F5B3D" w:rsidRPr="006E0575" w:rsidTr="00FC68B4">
        <w:trPr>
          <w:tblHeader/>
        </w:trPr>
        <w:tc>
          <w:tcPr>
            <w:tcW w:w="1334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627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285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89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3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32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FC68B4">
        <w:tc>
          <w:tcPr>
            <w:tcW w:w="13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50272A" w:rsidP="0030686C">
            <w:pPr>
              <w:rPr>
                <w:sz w:val="20"/>
              </w:rPr>
            </w:pPr>
            <w:r>
              <w:rPr>
                <w:sz w:val="20"/>
              </w:rPr>
              <w:t>20-6.1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1F33DE" w:rsidP="0030686C">
            <w:pPr>
              <w:rPr>
                <w:sz w:val="20"/>
              </w:rPr>
            </w:pPr>
            <w:r>
              <w:rPr>
                <w:sz w:val="20"/>
              </w:rPr>
              <w:t>2060</w:t>
            </w:r>
            <w:r w:rsidR="00D02982">
              <w:rPr>
                <w:sz w:val="20"/>
              </w:rPr>
              <w:t xml:space="preserve"> </w:t>
            </w:r>
            <w:r>
              <w:rPr>
                <w:sz w:val="20"/>
              </w:rPr>
              <w:t>6060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62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0272A" w:rsidP="0030686C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1285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50272A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50272A" w:rsidRPr="00D9196F" w:rsidRDefault="0050272A" w:rsidP="0030686C">
            <w:pPr>
              <w:rPr>
                <w:strike/>
                <w:sz w:val="20"/>
              </w:rPr>
            </w:pPr>
          </w:p>
        </w:tc>
        <w:tc>
          <w:tcPr>
            <w:tcW w:w="189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22064" w:rsidP="003C1157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3C1157">
              <w:rPr>
                <w:sz w:val="20"/>
              </w:rPr>
              <w:t>/-in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8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22064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2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C68C9" w:rsidP="00BC68C9">
            <w:pPr>
              <w:rPr>
                <w:sz w:val="20"/>
              </w:rPr>
            </w:pPr>
            <w:r>
              <w:rPr>
                <w:sz w:val="20"/>
              </w:rPr>
              <w:t>KW 01/2030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C68C9" w:rsidP="00BC68C9">
            <w:pPr>
              <w:rPr>
                <w:sz w:val="20"/>
              </w:rPr>
            </w:pPr>
            <w:r>
              <w:rPr>
                <w:sz w:val="20"/>
              </w:rPr>
              <w:t>101</w:t>
            </w:r>
            <w:r w:rsidR="00D4196F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  <w:r w:rsidR="00D4196F">
              <w:rPr>
                <w:sz w:val="20"/>
              </w:rPr>
              <w:t>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C22064" w:rsidP="00884D6C">
      <w:r>
        <w:t>Geschaffen wird 1,0 Sachbearbeitungsstell</w:t>
      </w:r>
      <w:r w:rsidR="00D9196F">
        <w:t>e in Besoldungsgruppe A 11</w:t>
      </w:r>
      <w:r>
        <w:t xml:space="preserve"> </w:t>
      </w:r>
      <w:r w:rsidR="003C1157">
        <w:t xml:space="preserve">bei der Abteilung Grundbesitzabgaben, Sachgebiet Grundsteuer- und Hausgebührenveranlagung (20-6.1) </w:t>
      </w:r>
      <w:r>
        <w:t xml:space="preserve">zur Bearbeitung von Widersprüchen gegen </w:t>
      </w:r>
      <w:r w:rsidR="00143DC3">
        <w:t xml:space="preserve">die </w:t>
      </w:r>
      <w:r>
        <w:t xml:space="preserve">Grundsteuerfestsetzung nach </w:t>
      </w:r>
      <w:r w:rsidR="00792BF4" w:rsidRPr="00571AEF">
        <w:t xml:space="preserve">der </w:t>
      </w:r>
      <w:r>
        <w:t>Grundsteuerreform</w:t>
      </w:r>
      <w:r w:rsidR="001A4646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C81941" w:rsidP="00884D6C">
      <w:r>
        <w:t xml:space="preserve">Das Kriterium </w:t>
      </w:r>
      <w:r w:rsidR="001534D4">
        <w:t xml:space="preserve">„Erfüllung </w:t>
      </w:r>
      <w:bookmarkStart w:id="0" w:name="_GoBack"/>
      <w:bookmarkEnd w:id="0"/>
      <w:r>
        <w:t>neue zwingende gesetzliche Vorschrift“ wird erfüllt.</w:t>
      </w:r>
      <w:r w:rsidR="00C22064">
        <w:t xml:space="preserve">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DC7EB1" w:rsidRDefault="00C22064" w:rsidP="00884D6C">
      <w:r>
        <w:t>Im Zuge der Grundsteuerreform werden erstmalig für das Jahr 2025 Grundsteuerfestsetzungen nach neuem Recht</w:t>
      </w:r>
      <w:r w:rsidR="00DC7EB1">
        <w:t xml:space="preserve"> erfolgen. Die gesetzlichen Neuregelungen stehen aktuell </w:t>
      </w:r>
      <w:r w:rsidR="00792BF4" w:rsidRPr="00571AEF">
        <w:t>bereits</w:t>
      </w:r>
      <w:r w:rsidR="00DC7EB1" w:rsidRPr="00571AEF">
        <w:t xml:space="preserve"> </w:t>
      </w:r>
      <w:r w:rsidR="00DC7EB1">
        <w:t>in der Kritik. Etliche Verbände (Bund der Steuerzahler, Haus und Grund) haben auch gegen die landesgesetzliche Regelung Verfassungsbeschwerde angekündigt.</w:t>
      </w:r>
    </w:p>
    <w:p w:rsidR="00DC7EB1" w:rsidRDefault="00DC7EB1" w:rsidP="00884D6C"/>
    <w:p w:rsidR="000760A2" w:rsidRDefault="00DC7EB1" w:rsidP="00884D6C">
      <w:r>
        <w:t>Es wird deshalb mit einer sehr hohen Zahl an Widersprüchen gegen die Grundsteuerfestsetzungen ab 2025 gerechnet. Es werden etwa 230.000 wirtschaftliche Einheiten auf knapp 170.000 Grundbesitzabgabenkonten zur Grundsteuer veranlagt</w:t>
      </w:r>
      <w:r w:rsidR="00A038EB">
        <w:t xml:space="preserve">. Bei einer Widerspruchsquote von 10 Prozent wären es 17.000 Widersprüche, eine noch größere Zahl erscheint nicht ausgeschlossen. </w:t>
      </w:r>
    </w:p>
    <w:p w:rsidR="00571AEF" w:rsidRDefault="00571AEF" w:rsidP="00884D6C"/>
    <w:p w:rsidR="00D02982" w:rsidRPr="00755E4A" w:rsidRDefault="00D02982" w:rsidP="00D02982">
      <w:r>
        <w:t xml:space="preserve">Bis zu einer verfassungsrechtlichen Prüfung wird auch in den Folgejahren </w:t>
      </w:r>
      <w:r w:rsidR="00792BF4">
        <w:t xml:space="preserve">mit einer </w:t>
      </w:r>
      <w:r>
        <w:t>hohe</w:t>
      </w:r>
      <w:r w:rsidR="00792BF4">
        <w:t>n</w:t>
      </w:r>
      <w:r>
        <w:t xml:space="preserve"> Zahl an Widersprüchen </w:t>
      </w:r>
      <w:r w:rsidR="00792BF4" w:rsidRPr="00571AEF">
        <w:t>gerechnet</w:t>
      </w:r>
      <w:r>
        <w:t>. Es wird erwartet, dass die rechtliche Regelung bestätigt oder zumindest für solange anwendbar erklärt wird, bis neues Recht geschaf</w:t>
      </w:r>
      <w:r>
        <w:lastRenderedPageBreak/>
        <w:t>fen ist (analog Rechtsprechung Einheitsbewertung). Danach werden die ruhend</w:t>
      </w:r>
      <w:r w:rsidR="00D9196F">
        <w:t>en Widerspruchsverfahren wieder</w:t>
      </w:r>
      <w:r>
        <w:t>aufgenommen und es wird auf die Rücknahme der Widersprüche hingewirkt. Es ist nicht zu erwarten, dass dies vor dem Jahr 2028 abgeschlossen werden kann</w:t>
      </w:r>
      <w:r w:rsidR="00792BF4" w:rsidRPr="00755E4A">
        <w:t>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4A2137" w:rsidP="00884D6C">
      <w:r>
        <w:t xml:space="preserve">Widersprüche gegen </w:t>
      </w:r>
      <w:r w:rsidRPr="00755E4A">
        <w:t xml:space="preserve">Grundsteuerfestsetzungen </w:t>
      </w:r>
      <w:r w:rsidR="001C7261" w:rsidRPr="00755E4A">
        <w:t>werden</w:t>
      </w:r>
      <w:r w:rsidRPr="00755E4A">
        <w:t xml:space="preserve"> bisher </w:t>
      </w:r>
      <w:r w:rsidR="001C7261" w:rsidRPr="00755E4A">
        <w:t>von</w:t>
      </w:r>
      <w:r w:rsidRPr="00755E4A">
        <w:t xml:space="preserve"> </w:t>
      </w:r>
      <w:r>
        <w:t xml:space="preserve">drei Vollzeitstellen jeweils als Teilaufgabe bearbeitet. In der Summe entfällt auf die Widerspruchsbearbeitung weniger als eine Vollzeitstelle.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9E5908" w:rsidP="00884D6C">
      <w:r>
        <w:t xml:space="preserve">Untätigkeitsklagen und negative Presseberichte </w:t>
      </w:r>
      <w:r w:rsidR="001C7261" w:rsidRPr="00571AEF">
        <w:t xml:space="preserve">sind </w:t>
      </w:r>
      <w:r>
        <w:t>zu erwarten.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1A4646" w:rsidRDefault="00BC68C9" w:rsidP="00884D6C">
      <w:r>
        <w:t>KW 01/2030</w:t>
      </w:r>
    </w:p>
    <w:sectPr w:rsidR="001A464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8F" w:rsidRDefault="0076018F">
      <w:r>
        <w:separator/>
      </w:r>
    </w:p>
  </w:endnote>
  <w:endnote w:type="continuationSeparator" w:id="0">
    <w:p w:rsidR="0076018F" w:rsidRDefault="007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8F" w:rsidRDefault="0076018F">
      <w:r>
        <w:separator/>
      </w:r>
    </w:p>
  </w:footnote>
  <w:footnote w:type="continuationSeparator" w:id="0">
    <w:p w:rsidR="0076018F" w:rsidRDefault="0076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534D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8F"/>
    <w:rsid w:val="00026253"/>
    <w:rsid w:val="00055758"/>
    <w:rsid w:val="00061F0B"/>
    <w:rsid w:val="000760A2"/>
    <w:rsid w:val="000A1146"/>
    <w:rsid w:val="000B57BF"/>
    <w:rsid w:val="001034AF"/>
    <w:rsid w:val="0011112B"/>
    <w:rsid w:val="001161B3"/>
    <w:rsid w:val="00142FF4"/>
    <w:rsid w:val="00143DC3"/>
    <w:rsid w:val="0014415D"/>
    <w:rsid w:val="00151488"/>
    <w:rsid w:val="001534D4"/>
    <w:rsid w:val="00163034"/>
    <w:rsid w:val="00164678"/>
    <w:rsid w:val="00165C0D"/>
    <w:rsid w:val="00181857"/>
    <w:rsid w:val="00184EDC"/>
    <w:rsid w:val="00194770"/>
    <w:rsid w:val="001A4646"/>
    <w:rsid w:val="001A5F9B"/>
    <w:rsid w:val="001C7261"/>
    <w:rsid w:val="001F33DE"/>
    <w:rsid w:val="001F7237"/>
    <w:rsid w:val="002924CB"/>
    <w:rsid w:val="002A20D1"/>
    <w:rsid w:val="002A4DE3"/>
    <w:rsid w:val="002B5955"/>
    <w:rsid w:val="0030686C"/>
    <w:rsid w:val="00380937"/>
    <w:rsid w:val="00397717"/>
    <w:rsid w:val="003C1157"/>
    <w:rsid w:val="003D7B0B"/>
    <w:rsid w:val="003E0F4B"/>
    <w:rsid w:val="003F0FAA"/>
    <w:rsid w:val="00470135"/>
    <w:rsid w:val="0047606A"/>
    <w:rsid w:val="004908B5"/>
    <w:rsid w:val="0049121B"/>
    <w:rsid w:val="004A1688"/>
    <w:rsid w:val="004A2137"/>
    <w:rsid w:val="004B6796"/>
    <w:rsid w:val="0050272A"/>
    <w:rsid w:val="00571AEF"/>
    <w:rsid w:val="0058378D"/>
    <w:rsid w:val="005A0A9D"/>
    <w:rsid w:val="005A56AA"/>
    <w:rsid w:val="005A6EA0"/>
    <w:rsid w:val="005E19C6"/>
    <w:rsid w:val="005F5B3D"/>
    <w:rsid w:val="00606F80"/>
    <w:rsid w:val="00622CC7"/>
    <w:rsid w:val="00654A26"/>
    <w:rsid w:val="006A406B"/>
    <w:rsid w:val="006B6D50"/>
    <w:rsid w:val="006E0575"/>
    <w:rsid w:val="007113BF"/>
    <w:rsid w:val="0072799A"/>
    <w:rsid w:val="00741C48"/>
    <w:rsid w:val="00754659"/>
    <w:rsid w:val="00755E4A"/>
    <w:rsid w:val="0076018F"/>
    <w:rsid w:val="00792BF4"/>
    <w:rsid w:val="007B4B39"/>
    <w:rsid w:val="007E3B79"/>
    <w:rsid w:val="008066EE"/>
    <w:rsid w:val="00817BB6"/>
    <w:rsid w:val="00883031"/>
    <w:rsid w:val="00884D6C"/>
    <w:rsid w:val="00920F00"/>
    <w:rsid w:val="009373F6"/>
    <w:rsid w:val="00946276"/>
    <w:rsid w:val="0096038F"/>
    <w:rsid w:val="00976588"/>
    <w:rsid w:val="009E5908"/>
    <w:rsid w:val="00A038EB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B55D3"/>
    <w:rsid w:val="00BC4669"/>
    <w:rsid w:val="00BC68C9"/>
    <w:rsid w:val="00C16EF1"/>
    <w:rsid w:val="00C22064"/>
    <w:rsid w:val="00C448D3"/>
    <w:rsid w:val="00C81941"/>
    <w:rsid w:val="00CF62E5"/>
    <w:rsid w:val="00CF73FA"/>
    <w:rsid w:val="00D02982"/>
    <w:rsid w:val="00D4196F"/>
    <w:rsid w:val="00D66D3A"/>
    <w:rsid w:val="00D743D4"/>
    <w:rsid w:val="00D9196F"/>
    <w:rsid w:val="00DB3D6C"/>
    <w:rsid w:val="00DC7EB1"/>
    <w:rsid w:val="00DE362D"/>
    <w:rsid w:val="00E014B6"/>
    <w:rsid w:val="00E1162F"/>
    <w:rsid w:val="00E11D5F"/>
    <w:rsid w:val="00E20E1F"/>
    <w:rsid w:val="00E2389C"/>
    <w:rsid w:val="00E42F96"/>
    <w:rsid w:val="00E7118F"/>
    <w:rsid w:val="00EA1959"/>
    <w:rsid w:val="00EF2986"/>
    <w:rsid w:val="00F20767"/>
    <w:rsid w:val="00F27657"/>
    <w:rsid w:val="00F342DC"/>
    <w:rsid w:val="00F56F93"/>
    <w:rsid w:val="00F63041"/>
    <w:rsid w:val="00F76452"/>
    <w:rsid w:val="00F96B35"/>
    <w:rsid w:val="00FC68B4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329F0"/>
  <w15:docId w15:val="{18AF9B9F-C036-4D8F-9D56-2D71E3E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654A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5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1004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282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Benzenhöfer, Cornelia</dc:creator>
  <cp:lastModifiedBy>Baumann, Gerhard</cp:lastModifiedBy>
  <cp:revision>10</cp:revision>
  <cp:lastPrinted>2023-10-06T05:56:00Z</cp:lastPrinted>
  <dcterms:created xsi:type="dcterms:W3CDTF">2023-01-21T15:18:00Z</dcterms:created>
  <dcterms:modified xsi:type="dcterms:W3CDTF">2023-10-06T05:56:00Z</dcterms:modified>
</cp:coreProperties>
</file>