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0F6CAF">
        <w:t>27</w:t>
      </w:r>
      <w:r w:rsidRPr="006E0575">
        <w:t xml:space="preserve"> zur GRDrs</w:t>
      </w:r>
      <w:r w:rsidR="006D445C">
        <w:t>.</w:t>
      </w:r>
      <w:r w:rsidRPr="006E0575">
        <w:t xml:space="preserve"> </w:t>
      </w:r>
      <w:r w:rsidR="006D445C">
        <w:t>820</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20641B">
        <w:t>4</w:t>
      </w:r>
    </w:p>
    <w:p w:rsidR="003D7B0B" w:rsidRDefault="003D7B0B" w:rsidP="006E0575"/>
    <w:p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621A46">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621A46" w:rsidRPr="006E0575" w:rsidTr="00621A46">
        <w:tc>
          <w:tcPr>
            <w:tcW w:w="1701" w:type="dxa"/>
          </w:tcPr>
          <w:p w:rsidR="00621A46" w:rsidRDefault="00621A46" w:rsidP="00621A46">
            <w:pPr>
              <w:rPr>
                <w:sz w:val="20"/>
              </w:rPr>
            </w:pPr>
          </w:p>
          <w:p w:rsidR="00621A46" w:rsidRDefault="00FC6B9D" w:rsidP="00621A46">
            <w:pPr>
              <w:rPr>
                <w:sz w:val="20"/>
              </w:rPr>
            </w:pPr>
            <w:r>
              <w:rPr>
                <w:sz w:val="20"/>
              </w:rPr>
              <w:t>230.2020.055</w:t>
            </w:r>
          </w:p>
          <w:p w:rsidR="00FC6B9D" w:rsidRDefault="00FC6B9D" w:rsidP="00621A46">
            <w:pPr>
              <w:rPr>
                <w:sz w:val="20"/>
              </w:rPr>
            </w:pPr>
            <w:r>
              <w:rPr>
                <w:sz w:val="20"/>
              </w:rPr>
              <w:t>230.2020.060</w:t>
            </w:r>
          </w:p>
          <w:p w:rsidR="00621A46" w:rsidRPr="005126F7" w:rsidRDefault="005126F7" w:rsidP="00621A46">
            <w:pPr>
              <w:rPr>
                <w:sz w:val="20"/>
              </w:rPr>
            </w:pPr>
            <w:r w:rsidRPr="005126F7">
              <w:rPr>
                <w:sz w:val="20"/>
              </w:rPr>
              <w:t>2320 5020</w:t>
            </w:r>
          </w:p>
          <w:p w:rsidR="006F3A54" w:rsidRDefault="006F3A54" w:rsidP="00621A46">
            <w:pPr>
              <w:rPr>
                <w:sz w:val="20"/>
              </w:rPr>
            </w:pPr>
          </w:p>
          <w:p w:rsidR="006D445C" w:rsidRDefault="006D445C" w:rsidP="00621A46">
            <w:pPr>
              <w:rPr>
                <w:sz w:val="20"/>
              </w:rPr>
            </w:pPr>
          </w:p>
          <w:p w:rsidR="00621A46" w:rsidRDefault="00FC6B9D" w:rsidP="00FC6B9D">
            <w:pPr>
              <w:rPr>
                <w:sz w:val="20"/>
              </w:rPr>
            </w:pPr>
            <w:r>
              <w:rPr>
                <w:sz w:val="20"/>
              </w:rPr>
              <w:t>230.2020.090</w:t>
            </w:r>
          </w:p>
          <w:p w:rsidR="005126F7" w:rsidRPr="005126F7" w:rsidRDefault="005126F7" w:rsidP="005126F7">
            <w:pPr>
              <w:rPr>
                <w:sz w:val="20"/>
              </w:rPr>
            </w:pPr>
            <w:r w:rsidRPr="005126F7">
              <w:rPr>
                <w:sz w:val="20"/>
              </w:rPr>
              <w:t xml:space="preserve">2320 </w:t>
            </w:r>
            <w:r w:rsidR="00F66A4D">
              <w:rPr>
                <w:sz w:val="20"/>
              </w:rPr>
              <w:t>1100</w:t>
            </w:r>
          </w:p>
          <w:p w:rsidR="00FC6B9D" w:rsidRPr="006E0575" w:rsidRDefault="00FC6B9D" w:rsidP="00FC6B9D">
            <w:pPr>
              <w:rPr>
                <w:sz w:val="20"/>
              </w:rPr>
            </w:pPr>
          </w:p>
        </w:tc>
        <w:tc>
          <w:tcPr>
            <w:tcW w:w="1701" w:type="dxa"/>
          </w:tcPr>
          <w:p w:rsidR="00621A46" w:rsidRDefault="00621A46" w:rsidP="00621A46">
            <w:pPr>
              <w:rPr>
                <w:sz w:val="20"/>
              </w:rPr>
            </w:pPr>
          </w:p>
          <w:p w:rsidR="00621A46" w:rsidRPr="006E0575" w:rsidRDefault="00621A46" w:rsidP="00621A46">
            <w:pPr>
              <w:rPr>
                <w:sz w:val="20"/>
              </w:rPr>
            </w:pPr>
            <w:r>
              <w:rPr>
                <w:sz w:val="20"/>
              </w:rPr>
              <w:t>Liegenschaftsamt</w:t>
            </w:r>
          </w:p>
        </w:tc>
        <w:tc>
          <w:tcPr>
            <w:tcW w:w="851" w:type="dxa"/>
          </w:tcPr>
          <w:p w:rsidR="00621A46" w:rsidRDefault="00621A46" w:rsidP="00621A46">
            <w:pPr>
              <w:rPr>
                <w:sz w:val="20"/>
              </w:rPr>
            </w:pPr>
          </w:p>
          <w:p w:rsidR="00621A46" w:rsidRDefault="00621A46" w:rsidP="00621A46">
            <w:pPr>
              <w:rPr>
                <w:sz w:val="20"/>
              </w:rPr>
            </w:pPr>
            <w:r>
              <w:rPr>
                <w:sz w:val="20"/>
              </w:rPr>
              <w:t>EG 11</w:t>
            </w:r>
          </w:p>
          <w:p w:rsidR="00621A46" w:rsidRDefault="00621A46" w:rsidP="00621A46">
            <w:pPr>
              <w:rPr>
                <w:sz w:val="20"/>
              </w:rPr>
            </w:pPr>
          </w:p>
          <w:p w:rsidR="00621A46" w:rsidRDefault="00621A46" w:rsidP="00621A46">
            <w:pPr>
              <w:rPr>
                <w:sz w:val="20"/>
              </w:rPr>
            </w:pPr>
          </w:p>
          <w:p w:rsidR="00621A46" w:rsidRDefault="00621A46" w:rsidP="00621A46">
            <w:pPr>
              <w:rPr>
                <w:sz w:val="20"/>
              </w:rPr>
            </w:pPr>
          </w:p>
          <w:p w:rsidR="006F3A54" w:rsidRDefault="006F3A54" w:rsidP="00621A46">
            <w:pPr>
              <w:rPr>
                <w:sz w:val="20"/>
              </w:rPr>
            </w:pPr>
          </w:p>
          <w:p w:rsidR="00621A46" w:rsidRPr="006E0575" w:rsidRDefault="00231CC1" w:rsidP="00621A46">
            <w:pPr>
              <w:rPr>
                <w:sz w:val="20"/>
              </w:rPr>
            </w:pPr>
            <w:r w:rsidRPr="00231CC1">
              <w:rPr>
                <w:sz w:val="20"/>
              </w:rPr>
              <w:t>EG 5</w:t>
            </w:r>
          </w:p>
        </w:tc>
        <w:tc>
          <w:tcPr>
            <w:tcW w:w="1701" w:type="dxa"/>
          </w:tcPr>
          <w:p w:rsidR="00621A46" w:rsidRDefault="00621A46" w:rsidP="00621A46">
            <w:pPr>
              <w:rPr>
                <w:sz w:val="20"/>
              </w:rPr>
            </w:pPr>
          </w:p>
          <w:p w:rsidR="00621A46" w:rsidRDefault="00621A46" w:rsidP="00621A46">
            <w:pPr>
              <w:rPr>
                <w:sz w:val="20"/>
              </w:rPr>
            </w:pPr>
            <w:r>
              <w:rPr>
                <w:sz w:val="20"/>
              </w:rPr>
              <w:t>S</w:t>
            </w:r>
            <w:r w:rsidRPr="005E0077">
              <w:rPr>
                <w:sz w:val="20"/>
              </w:rPr>
              <w:t>achbearbeiter</w:t>
            </w:r>
            <w:r w:rsidR="006D445C">
              <w:rPr>
                <w:sz w:val="20"/>
              </w:rPr>
              <w:t>/ -</w:t>
            </w:r>
            <w:r w:rsidR="00954A37">
              <w:rPr>
                <w:sz w:val="20"/>
              </w:rPr>
              <w:t xml:space="preserve">in </w:t>
            </w:r>
          </w:p>
          <w:p w:rsidR="00621A46" w:rsidRDefault="00621A46" w:rsidP="00621A46">
            <w:pPr>
              <w:rPr>
                <w:sz w:val="20"/>
              </w:rPr>
            </w:pPr>
          </w:p>
          <w:p w:rsidR="006D445C" w:rsidRDefault="006D445C" w:rsidP="00621A46">
            <w:pPr>
              <w:rPr>
                <w:sz w:val="20"/>
              </w:rPr>
            </w:pPr>
          </w:p>
          <w:p w:rsidR="006F3A54" w:rsidRDefault="006F3A54" w:rsidP="00621A46">
            <w:pPr>
              <w:rPr>
                <w:sz w:val="20"/>
              </w:rPr>
            </w:pPr>
          </w:p>
          <w:p w:rsidR="00621A46" w:rsidRPr="006E0575" w:rsidRDefault="00954A37" w:rsidP="006D445C">
            <w:pPr>
              <w:rPr>
                <w:sz w:val="20"/>
              </w:rPr>
            </w:pPr>
            <w:r>
              <w:rPr>
                <w:sz w:val="20"/>
              </w:rPr>
              <w:t>Sekretär</w:t>
            </w:r>
            <w:r w:rsidR="006D445C">
              <w:rPr>
                <w:sz w:val="20"/>
              </w:rPr>
              <w:t>/-</w:t>
            </w:r>
            <w:r>
              <w:rPr>
                <w:sz w:val="20"/>
              </w:rPr>
              <w:t>in</w:t>
            </w:r>
          </w:p>
        </w:tc>
        <w:tc>
          <w:tcPr>
            <w:tcW w:w="851" w:type="dxa"/>
            <w:shd w:val="pct12" w:color="auto" w:fill="FFFFFF"/>
          </w:tcPr>
          <w:p w:rsidR="00621A46" w:rsidRDefault="00621A46" w:rsidP="00621A46">
            <w:pPr>
              <w:jc w:val="center"/>
              <w:rPr>
                <w:sz w:val="20"/>
              </w:rPr>
            </w:pPr>
          </w:p>
          <w:p w:rsidR="00621A46" w:rsidRDefault="00621A46" w:rsidP="00621A46">
            <w:pPr>
              <w:jc w:val="center"/>
              <w:rPr>
                <w:sz w:val="20"/>
              </w:rPr>
            </w:pPr>
            <w:r>
              <w:rPr>
                <w:sz w:val="20"/>
              </w:rPr>
              <w:t>2,0</w:t>
            </w:r>
          </w:p>
          <w:p w:rsidR="00621A46" w:rsidRDefault="00621A46" w:rsidP="00621A46">
            <w:pPr>
              <w:jc w:val="center"/>
              <w:rPr>
                <w:sz w:val="20"/>
              </w:rPr>
            </w:pPr>
          </w:p>
          <w:p w:rsidR="00621A46" w:rsidRDefault="00621A46" w:rsidP="00621A46">
            <w:pPr>
              <w:jc w:val="center"/>
              <w:rPr>
                <w:sz w:val="20"/>
              </w:rPr>
            </w:pPr>
          </w:p>
          <w:p w:rsidR="00621A46" w:rsidRDefault="00621A46" w:rsidP="00621A46">
            <w:pPr>
              <w:jc w:val="center"/>
              <w:rPr>
                <w:sz w:val="20"/>
              </w:rPr>
            </w:pPr>
          </w:p>
          <w:p w:rsidR="006F3A54" w:rsidRDefault="006F3A54" w:rsidP="00954A37">
            <w:pPr>
              <w:jc w:val="center"/>
              <w:rPr>
                <w:sz w:val="20"/>
              </w:rPr>
            </w:pPr>
          </w:p>
          <w:p w:rsidR="00621A46" w:rsidRPr="006E0575" w:rsidRDefault="00621A46" w:rsidP="00621A46">
            <w:pPr>
              <w:jc w:val="center"/>
              <w:rPr>
                <w:sz w:val="20"/>
              </w:rPr>
            </w:pPr>
            <w:r>
              <w:rPr>
                <w:sz w:val="20"/>
              </w:rPr>
              <w:t>0,1</w:t>
            </w:r>
          </w:p>
        </w:tc>
        <w:tc>
          <w:tcPr>
            <w:tcW w:w="1134" w:type="dxa"/>
          </w:tcPr>
          <w:p w:rsidR="00621A46" w:rsidRDefault="00621A46" w:rsidP="00621A46">
            <w:pPr>
              <w:rPr>
                <w:sz w:val="20"/>
              </w:rPr>
            </w:pPr>
          </w:p>
          <w:p w:rsidR="00621A46" w:rsidRDefault="006D445C" w:rsidP="00621A46">
            <w:pPr>
              <w:rPr>
                <w:sz w:val="20"/>
              </w:rPr>
            </w:pPr>
            <w:r>
              <w:rPr>
                <w:sz w:val="20"/>
              </w:rPr>
              <w:t>KW</w:t>
            </w:r>
            <w:r w:rsidR="00621A46">
              <w:rPr>
                <w:sz w:val="20"/>
              </w:rPr>
              <w:t xml:space="preserve"> 01/2026</w:t>
            </w:r>
          </w:p>
          <w:p w:rsidR="006F3A54" w:rsidRPr="006D445C" w:rsidRDefault="006D445C" w:rsidP="00621A46">
            <w:pPr>
              <w:rPr>
                <w:b/>
                <w:sz w:val="20"/>
              </w:rPr>
            </w:pPr>
            <w:r w:rsidRPr="006D445C">
              <w:rPr>
                <w:b/>
                <w:sz w:val="20"/>
              </w:rPr>
              <w:t>KW</w:t>
            </w:r>
          </w:p>
          <w:p w:rsidR="006F3A54" w:rsidRPr="006D445C" w:rsidRDefault="006F3A54" w:rsidP="00621A46">
            <w:pPr>
              <w:rPr>
                <w:b/>
                <w:sz w:val="20"/>
              </w:rPr>
            </w:pPr>
            <w:r w:rsidRPr="006D445C">
              <w:rPr>
                <w:b/>
                <w:sz w:val="20"/>
              </w:rPr>
              <w:t>01/2028</w:t>
            </w:r>
          </w:p>
          <w:p w:rsidR="00621A46" w:rsidRDefault="00621A46" w:rsidP="00621A46">
            <w:pPr>
              <w:rPr>
                <w:sz w:val="20"/>
              </w:rPr>
            </w:pPr>
          </w:p>
          <w:p w:rsidR="00621A46" w:rsidRDefault="006D445C" w:rsidP="00621A46">
            <w:pPr>
              <w:rPr>
                <w:sz w:val="20"/>
              </w:rPr>
            </w:pPr>
            <w:r>
              <w:rPr>
                <w:sz w:val="20"/>
              </w:rPr>
              <w:t xml:space="preserve">KW </w:t>
            </w:r>
            <w:r w:rsidR="00621A46">
              <w:rPr>
                <w:sz w:val="20"/>
              </w:rPr>
              <w:t>01/2026</w:t>
            </w:r>
          </w:p>
          <w:p w:rsidR="006F3A54" w:rsidRPr="006D445C" w:rsidRDefault="006D445C" w:rsidP="00621A46">
            <w:pPr>
              <w:rPr>
                <w:b/>
                <w:sz w:val="20"/>
              </w:rPr>
            </w:pPr>
            <w:r w:rsidRPr="006D445C">
              <w:rPr>
                <w:b/>
                <w:sz w:val="20"/>
              </w:rPr>
              <w:t>KW</w:t>
            </w:r>
          </w:p>
          <w:p w:rsidR="006F3A54" w:rsidRPr="006F3A54" w:rsidRDefault="006F3A54" w:rsidP="00621A46">
            <w:pPr>
              <w:rPr>
                <w:b/>
                <w:sz w:val="20"/>
              </w:rPr>
            </w:pPr>
            <w:r w:rsidRPr="006D445C">
              <w:rPr>
                <w:b/>
                <w:sz w:val="20"/>
              </w:rPr>
              <w:t>01/2028</w:t>
            </w:r>
          </w:p>
        </w:tc>
        <w:tc>
          <w:tcPr>
            <w:tcW w:w="1588" w:type="dxa"/>
          </w:tcPr>
          <w:p w:rsidR="00621A46" w:rsidRDefault="00621A46" w:rsidP="00621A46">
            <w:pPr>
              <w:rPr>
                <w:sz w:val="20"/>
              </w:rPr>
            </w:pPr>
          </w:p>
          <w:p w:rsidR="00621A46" w:rsidRPr="006E0575" w:rsidRDefault="00621A46" w:rsidP="00621A46">
            <w:pPr>
              <w:rPr>
                <w:sz w:val="20"/>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765A5D" w:rsidRPr="00231CC1" w:rsidRDefault="00450F8F" w:rsidP="00621A46">
      <w:r>
        <w:t>Zum Doppelhaushalt</w:t>
      </w:r>
      <w:r w:rsidR="00621A46">
        <w:t xml:space="preserve"> 2020/2021 wurden </w:t>
      </w:r>
      <w:r w:rsidR="00765A5D">
        <w:t>beim Liegenschaftsamt 2</w:t>
      </w:r>
      <w:r>
        <w:t>,0</w:t>
      </w:r>
      <w:r w:rsidR="00765A5D">
        <w:t xml:space="preserve"> Stellen </w:t>
      </w:r>
      <w:r>
        <w:t>in EG 11 </w:t>
      </w:r>
      <w:r w:rsidR="00765A5D">
        <w:t>TVöD für die grundstücksrechtliche Betreuung des Vollzugs des Bahnprojekts Stuttgart-Ulm (Stuttgart 21) sowie ein</w:t>
      </w:r>
      <w:r>
        <w:t>e</w:t>
      </w:r>
      <w:r w:rsidR="006D445C">
        <w:t xml:space="preserve"> 0,10-</w:t>
      </w:r>
      <w:r>
        <w:t xml:space="preserve">Stelle </w:t>
      </w:r>
      <w:r w:rsidR="00765A5D">
        <w:t xml:space="preserve">für </w:t>
      </w:r>
      <w:r>
        <w:t>Assistenz</w:t>
      </w:r>
      <w:r w:rsidR="00765A5D">
        <w:t xml:space="preserve"> in </w:t>
      </w:r>
      <w:r>
        <w:t xml:space="preserve">EG </w:t>
      </w:r>
      <w:r w:rsidR="00231CC1" w:rsidRPr="00231CC1">
        <w:t>5</w:t>
      </w:r>
      <w:r w:rsidR="00765A5D" w:rsidRPr="00231CC1">
        <w:t xml:space="preserve"> TVöD geschaffen.</w:t>
      </w:r>
    </w:p>
    <w:p w:rsidR="006F3A54" w:rsidRPr="00231CC1" w:rsidRDefault="006F3A54" w:rsidP="00621A46"/>
    <w:p w:rsidR="006F3A54" w:rsidRDefault="006F3A54" w:rsidP="006F3A54">
      <w:r w:rsidRPr="0020641B">
        <w:t xml:space="preserve">Aufgrund des angespannten Personalmarktes und der Stellensituation im Amt konnten </w:t>
      </w:r>
      <w:r>
        <w:t>die Sachbearbeiter</w:t>
      </w:r>
      <w:r w:rsidR="006D445C">
        <w:t>/-</w:t>
      </w:r>
      <w:r w:rsidR="00A210AF">
        <w:t>innen</w:t>
      </w:r>
      <w:r>
        <w:t>stellen erst im Frühjahr bzw. Herbst 2022 verlässlich besetzt werden. Somit ist eine Vakanz auf den geschaffenen Stellen von ca. 2 Jahren eingetreten, welche entsprechend die Bearbeitung der Aufgaben um ca. 2 Jahre</w:t>
      </w:r>
      <w:r w:rsidRPr="00765A5D">
        <w:t xml:space="preserve"> </w:t>
      </w:r>
      <w:r>
        <w:t xml:space="preserve">verzögert. Die Aufgaben konnten weder </w:t>
      </w:r>
      <w:r w:rsidR="00A210AF">
        <w:t>mit dem</w:t>
      </w:r>
      <w:r>
        <w:t xml:space="preserve"> vorhandenen Personalbestand noch durch andere Maßnahmen erledigt werden. Der Stellenbedarf ist daher über den 31.12.2025 </w:t>
      </w:r>
      <w:proofErr w:type="gramStart"/>
      <w:r>
        <w:t>hinaus gegeben</w:t>
      </w:r>
      <w:proofErr w:type="gramEnd"/>
      <w:r>
        <w:t xml:space="preserve">. </w:t>
      </w:r>
    </w:p>
    <w:p w:rsidR="005F043E" w:rsidRDefault="005F043E" w:rsidP="00450F8F"/>
    <w:p w:rsidR="006F3A54" w:rsidRDefault="005F043E" w:rsidP="00450F8F">
      <w:r>
        <w:t>Im Zuge der Planfeststellungsverfahren sind auch städtische Grundstücke betroffen, zulasten derer Dienstbarkeiten zugunsten der Deutschen Bahn für deren (neuen) Betriebsanlagen, wie z.</w:t>
      </w:r>
      <w:r w:rsidR="006D445C">
        <w:t xml:space="preserve"> </w:t>
      </w:r>
      <w:r>
        <w:t xml:space="preserve">B. Gleisanlagen, Netzstationen, Rettungszugänge, etc., bestellt werden müssen. </w:t>
      </w:r>
      <w:r w:rsidR="006D445C">
        <w:t>Ferner sind gemäß</w:t>
      </w:r>
      <w:r w:rsidR="006F3A54">
        <w:t xml:space="preserve"> den Planfeststellungsbeschlüssen auch Grundstücke im Gesamten oder aber Teilflächen an die Deutsche Bahn zu verkaufen. Insgesamt sind über 110 städt. Grundstücke ganz oder teilweise an die Deutsche Bahn zu verkaufen und an ca. 730 städt. Grundstücken müssen Dienstbarkeiten zugunsten der Deutschen Bahn begründet werden.</w:t>
      </w:r>
    </w:p>
    <w:p w:rsidR="006F3A54" w:rsidRDefault="006F3A54" w:rsidP="00450F8F"/>
    <w:p w:rsidR="006F3A54" w:rsidRDefault="006F3A54" w:rsidP="00450F8F">
      <w:r>
        <w:t>Die Deutsche Bahn beginnt nun die grundbuchmäßige Umsetzung der Planfeststellungsbeschlüsse. Daher müssen mit der Deutschen Bahn die ca. 840 Kauf- und Dienst</w:t>
      </w:r>
      <w:r>
        <w:lastRenderedPageBreak/>
        <w:t>barkeitsverträge bis zur Inbetriebnahme des Bahnprojekts, an</w:t>
      </w:r>
      <w:r w:rsidR="00CB2656">
        <w:t xml:space="preserve">gekündigt ist 2025, verhandelt und </w:t>
      </w:r>
      <w:r>
        <w:t>beurkundet werden. Der grundbuchrechtliche Vollzug dieser Verträge wird noch mindestens 2 Jahre darüber hinaus, also bis Ende 2027, in Anspruch nehmen.</w:t>
      </w:r>
    </w:p>
    <w:p w:rsidR="006F3A54" w:rsidRDefault="006F3A54" w:rsidP="006F3A54"/>
    <w:p w:rsidR="006F3A54" w:rsidRPr="00FD2EF1" w:rsidRDefault="006F3A54" w:rsidP="006F3A54">
      <w:r>
        <w:t>Im Einzelnen fallen u. a. folgende (neuen) Aufgaben an</w:t>
      </w:r>
      <w:r w:rsidRPr="00FD2EF1">
        <w:t xml:space="preserve">: </w:t>
      </w:r>
    </w:p>
    <w:p w:rsidR="006F3A54" w:rsidRDefault="006F3A54" w:rsidP="006F3A54"/>
    <w:p w:rsidR="006F3A54" w:rsidRDefault="006F3A54" w:rsidP="006F3A54">
      <w:pPr>
        <w:pStyle w:val="Listenabsatz"/>
        <w:numPr>
          <w:ilvl w:val="0"/>
          <w:numId w:val="6"/>
        </w:numPr>
        <w:ind w:left="426" w:hanging="426"/>
      </w:pPr>
      <w:r>
        <w:t xml:space="preserve">Liegenschaftsrechtliche Begleitung und Bewertung der grundbuchmäßigen </w:t>
      </w:r>
      <w:r w:rsidR="00C304A9">
        <w:br/>
      </w:r>
      <w:r>
        <w:t>Umsetzung der Planfeststellungsbeschlüsse</w:t>
      </w:r>
    </w:p>
    <w:p w:rsidR="006F3A54" w:rsidRDefault="006F3A54" w:rsidP="006F3A54">
      <w:pPr>
        <w:pStyle w:val="Listenabsatz"/>
        <w:numPr>
          <w:ilvl w:val="0"/>
          <w:numId w:val="6"/>
        </w:numPr>
        <w:ind w:left="426" w:hanging="426"/>
      </w:pPr>
      <w:r>
        <w:t>ämterübergreifende Abstimmung der städt. Erfordernisse betr. der zu veräußernden Grundstücke</w:t>
      </w:r>
    </w:p>
    <w:p w:rsidR="006F3A54" w:rsidRDefault="006F3A54" w:rsidP="006F3A54">
      <w:pPr>
        <w:pStyle w:val="Listenabsatz"/>
        <w:numPr>
          <w:ilvl w:val="0"/>
          <w:numId w:val="6"/>
        </w:numPr>
        <w:ind w:left="426" w:hanging="426"/>
      </w:pPr>
      <w:r>
        <w:t>Kaufpreisverhandlungen für die über 110 Grundstücksverkäufe</w:t>
      </w:r>
    </w:p>
    <w:p w:rsidR="006F3A54" w:rsidRDefault="006F3A54" w:rsidP="006F3A54">
      <w:pPr>
        <w:pStyle w:val="Listenabsatz"/>
        <w:numPr>
          <w:ilvl w:val="0"/>
          <w:numId w:val="6"/>
        </w:numPr>
        <w:ind w:left="426" w:hanging="426"/>
      </w:pPr>
      <w:r>
        <w:t>Ausarbeitung und Verhandlung von über 110 Grundstückskaufverträgen</w:t>
      </w:r>
    </w:p>
    <w:p w:rsidR="006F3A54" w:rsidRDefault="006F3A54" w:rsidP="006F3A54">
      <w:pPr>
        <w:pStyle w:val="Listenabsatz"/>
        <w:numPr>
          <w:ilvl w:val="0"/>
          <w:numId w:val="6"/>
        </w:numPr>
        <w:ind w:left="426" w:hanging="426"/>
      </w:pPr>
      <w:r>
        <w:t>Entschädigungsverhandlungen für die ca. 730 zu bestellenden Dienstbarkeiten</w:t>
      </w:r>
    </w:p>
    <w:p w:rsidR="006F3A54" w:rsidRPr="00A672DC" w:rsidRDefault="006F3A54" w:rsidP="006F3A54">
      <w:pPr>
        <w:pStyle w:val="Listenabsatz"/>
        <w:numPr>
          <w:ilvl w:val="0"/>
          <w:numId w:val="6"/>
        </w:numPr>
        <w:ind w:left="426" w:hanging="426"/>
      </w:pPr>
      <w:r>
        <w:t xml:space="preserve">Ausarbeitung und Verhandlung von ca. 730 </w:t>
      </w:r>
      <w:r w:rsidR="006D445C">
        <w:t>Dienstbarkeitsbestellungsverein</w:t>
      </w:r>
      <w:r>
        <w:t>ba</w:t>
      </w:r>
      <w:r w:rsidRPr="00A672DC">
        <w:t>rungen</w:t>
      </w:r>
    </w:p>
    <w:p w:rsidR="006F3A54" w:rsidRDefault="006F3A54" w:rsidP="006F3A54">
      <w:pPr>
        <w:pStyle w:val="Listenabsatz"/>
        <w:numPr>
          <w:ilvl w:val="0"/>
          <w:numId w:val="6"/>
        </w:numPr>
        <w:ind w:left="426" w:hanging="426"/>
      </w:pPr>
      <w:r w:rsidRPr="00A672DC">
        <w:t xml:space="preserve">Vollzug </w:t>
      </w:r>
      <w:r>
        <w:t>der Verträge und Vereinbarungen.</w:t>
      </w:r>
    </w:p>
    <w:p w:rsidR="006F3A54" w:rsidRPr="00A672DC" w:rsidRDefault="006F3A54" w:rsidP="006F3A54"/>
    <w:p w:rsidR="006F3A54" w:rsidRDefault="006F3A54" w:rsidP="00621A46">
      <w:r>
        <w:t>Ferner sind die hierzu erforderlichen Vorzimmer- und Schreibarbeiten zu erledigen.</w:t>
      </w:r>
    </w:p>
    <w:p w:rsidR="00621A46" w:rsidRPr="00A672DC" w:rsidRDefault="00621A46" w:rsidP="00621A46"/>
    <w:p w:rsidR="00621A46" w:rsidRPr="00A672DC" w:rsidRDefault="00621A46" w:rsidP="00621A46">
      <w:r w:rsidRPr="00A672DC">
        <w:t xml:space="preserve">Bei Ablehnung der </w:t>
      </w:r>
      <w:r>
        <w:t xml:space="preserve">Verlängerung der </w:t>
      </w:r>
      <w:r w:rsidRPr="00A672DC">
        <w:t xml:space="preserve">Stellen kann ein </w:t>
      </w:r>
      <w:r>
        <w:t xml:space="preserve">vollständiger </w:t>
      </w:r>
      <w:r w:rsidRPr="00A672DC">
        <w:t xml:space="preserve">Verkauf von über 110 städt. Grundstücken bzw. Teilflächen städt. Grundstücke sowie die Bestellung von Dienstbarkeiten an ca. 730 städt. Grundstücken nicht bis zur Inbetriebnahme des Bahnprojekts </w:t>
      </w:r>
      <w:bookmarkStart w:id="0" w:name="_GoBack"/>
      <w:bookmarkEnd w:id="0"/>
      <w:r>
        <w:t>gewährleistet werden</w:t>
      </w:r>
      <w:r w:rsidRPr="00A672DC">
        <w:t>.</w:t>
      </w:r>
    </w:p>
    <w:p w:rsidR="00621A46" w:rsidRPr="00A672DC" w:rsidRDefault="00621A46" w:rsidP="00621A46"/>
    <w:p w:rsidR="00621A46" w:rsidRPr="00A672DC" w:rsidRDefault="00621A46" w:rsidP="00621A46">
      <w:r w:rsidRPr="00A672DC">
        <w:t xml:space="preserve">Damit würde die Landeshauptstadt Stuttgart ihrer Pflicht als Projektpartner nicht nachkommen. Die Folge wäre, dass entsprechende Enteignungsverfahren von der Deutschen Bahn eingeleitet werden würden. Diese könnten </w:t>
      </w:r>
      <w:r>
        <w:t xml:space="preserve">jedoch </w:t>
      </w:r>
      <w:proofErr w:type="spellStart"/>
      <w:r>
        <w:t>liegenschaftlicherseits</w:t>
      </w:r>
      <w:proofErr w:type="spellEnd"/>
      <w:r>
        <w:t xml:space="preserve"> </w:t>
      </w:r>
      <w:r w:rsidRPr="00A672DC">
        <w:t>ebenfalls nicht begleitet werden.</w:t>
      </w:r>
    </w:p>
    <w:p w:rsidR="00621A46" w:rsidRPr="00A672DC" w:rsidRDefault="00621A46" w:rsidP="00621A46"/>
    <w:p w:rsidR="00621A46" w:rsidRPr="00A672DC" w:rsidRDefault="00621A46" w:rsidP="00621A46">
      <w:r w:rsidRPr="00A672DC">
        <w:t xml:space="preserve">Dies hätte zur Konsequenz, dass im Enteignungsverfahren dann die Enteignung festgestellt werden würde, ohne dass die Landeshauptstadt Stuttgart wesentlich Einfluss nehmen kann. Diese </w:t>
      </w:r>
      <w:r w:rsidR="00CB2656">
        <w:t>fehlende Berücksichtigung städtischer</w:t>
      </w:r>
      <w:r w:rsidRPr="00A672DC">
        <w:t xml:space="preserve"> Interessen könnte sich ggf. wertmindernd auf die städt. Grundstücke auswirken. In der Folge wären dann weitreichende Konsequenzen und Nachteile für die Stadt zu befürchten.</w:t>
      </w:r>
      <w:r w:rsidR="00CB2656">
        <w:t xml:space="preserve"> </w:t>
      </w:r>
      <w:r w:rsidRPr="00A672DC">
        <w:t>Weiter</w:t>
      </w:r>
      <w:r w:rsidR="00CB2656">
        <w:t>hin</w:t>
      </w:r>
      <w:r w:rsidRPr="00A672DC">
        <w:t xml:space="preserve"> müsste dann für das Enteignungsverfahren eine externe juristische Beratung in Anspruch genommen werden.</w:t>
      </w:r>
    </w:p>
    <w:sectPr w:rsidR="00621A46" w:rsidRPr="00A672DC"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82" w:rsidRDefault="00290982">
      <w:r>
        <w:separator/>
      </w:r>
    </w:p>
  </w:endnote>
  <w:endnote w:type="continuationSeparator" w:id="0">
    <w:p w:rsidR="00290982" w:rsidRDefault="0029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82" w:rsidRDefault="00290982">
      <w:r>
        <w:separator/>
      </w:r>
    </w:p>
  </w:footnote>
  <w:footnote w:type="continuationSeparator" w:id="0">
    <w:p w:rsidR="00290982" w:rsidRDefault="0029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B6422F">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8C36B0"/>
    <w:multiLevelType w:val="hybridMultilevel"/>
    <w:tmpl w:val="05AC199A"/>
    <w:lvl w:ilvl="0" w:tplc="D62628B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82"/>
    <w:rsid w:val="0007798B"/>
    <w:rsid w:val="000A1146"/>
    <w:rsid w:val="000D6946"/>
    <w:rsid w:val="000E4C4B"/>
    <w:rsid w:val="000F6CAF"/>
    <w:rsid w:val="00100866"/>
    <w:rsid w:val="00127258"/>
    <w:rsid w:val="00153F44"/>
    <w:rsid w:val="00165C0D"/>
    <w:rsid w:val="00181578"/>
    <w:rsid w:val="00181857"/>
    <w:rsid w:val="00193A16"/>
    <w:rsid w:val="001D2FD2"/>
    <w:rsid w:val="001D767C"/>
    <w:rsid w:val="0020641B"/>
    <w:rsid w:val="00213C7A"/>
    <w:rsid w:val="00215971"/>
    <w:rsid w:val="00224A04"/>
    <w:rsid w:val="00231CC1"/>
    <w:rsid w:val="0023350C"/>
    <w:rsid w:val="002402DD"/>
    <w:rsid w:val="002812E4"/>
    <w:rsid w:val="00290982"/>
    <w:rsid w:val="002924CB"/>
    <w:rsid w:val="002C03BA"/>
    <w:rsid w:val="002C2ECA"/>
    <w:rsid w:val="002C36F1"/>
    <w:rsid w:val="002E14E4"/>
    <w:rsid w:val="002E442C"/>
    <w:rsid w:val="00303DAD"/>
    <w:rsid w:val="00321D15"/>
    <w:rsid w:val="00394BB8"/>
    <w:rsid w:val="003B4312"/>
    <w:rsid w:val="003C05EE"/>
    <w:rsid w:val="003D7B0B"/>
    <w:rsid w:val="004054DF"/>
    <w:rsid w:val="00430818"/>
    <w:rsid w:val="00436B6D"/>
    <w:rsid w:val="00450F8F"/>
    <w:rsid w:val="00465C46"/>
    <w:rsid w:val="004A6E7A"/>
    <w:rsid w:val="004B6796"/>
    <w:rsid w:val="004F791E"/>
    <w:rsid w:val="005126F7"/>
    <w:rsid w:val="005856C2"/>
    <w:rsid w:val="005F043E"/>
    <w:rsid w:val="006134E1"/>
    <w:rsid w:val="00621A46"/>
    <w:rsid w:val="00666CE4"/>
    <w:rsid w:val="00667CBD"/>
    <w:rsid w:val="00694161"/>
    <w:rsid w:val="006A55CB"/>
    <w:rsid w:val="006D445C"/>
    <w:rsid w:val="006E0575"/>
    <w:rsid w:val="006F3A54"/>
    <w:rsid w:val="00723653"/>
    <w:rsid w:val="00765A5D"/>
    <w:rsid w:val="00781F32"/>
    <w:rsid w:val="007879B1"/>
    <w:rsid w:val="007B200C"/>
    <w:rsid w:val="007B57B1"/>
    <w:rsid w:val="00856812"/>
    <w:rsid w:val="00884D6C"/>
    <w:rsid w:val="00896BFF"/>
    <w:rsid w:val="008F409A"/>
    <w:rsid w:val="00954A37"/>
    <w:rsid w:val="00A1159D"/>
    <w:rsid w:val="00A210AF"/>
    <w:rsid w:val="00A34898"/>
    <w:rsid w:val="00A4179B"/>
    <w:rsid w:val="00A509C5"/>
    <w:rsid w:val="00A77F1E"/>
    <w:rsid w:val="00A833A7"/>
    <w:rsid w:val="00A83599"/>
    <w:rsid w:val="00AD784D"/>
    <w:rsid w:val="00AE10D7"/>
    <w:rsid w:val="00B04290"/>
    <w:rsid w:val="00B45BDD"/>
    <w:rsid w:val="00B6422F"/>
    <w:rsid w:val="00B66C18"/>
    <w:rsid w:val="00B72D18"/>
    <w:rsid w:val="00B80DEF"/>
    <w:rsid w:val="00BF209E"/>
    <w:rsid w:val="00C074C7"/>
    <w:rsid w:val="00C304A9"/>
    <w:rsid w:val="00C33C9C"/>
    <w:rsid w:val="00C448D3"/>
    <w:rsid w:val="00C6569F"/>
    <w:rsid w:val="00C777D6"/>
    <w:rsid w:val="00C91E57"/>
    <w:rsid w:val="00CB2656"/>
    <w:rsid w:val="00D24277"/>
    <w:rsid w:val="00D46290"/>
    <w:rsid w:val="00D85EA0"/>
    <w:rsid w:val="00DC56F5"/>
    <w:rsid w:val="00E1162F"/>
    <w:rsid w:val="00E11D5F"/>
    <w:rsid w:val="00E60CED"/>
    <w:rsid w:val="00E97935"/>
    <w:rsid w:val="00EC58C5"/>
    <w:rsid w:val="00EC78CB"/>
    <w:rsid w:val="00ED4ABD"/>
    <w:rsid w:val="00EF4BCB"/>
    <w:rsid w:val="00F05F23"/>
    <w:rsid w:val="00F1086B"/>
    <w:rsid w:val="00F27657"/>
    <w:rsid w:val="00F3775A"/>
    <w:rsid w:val="00F66A4D"/>
    <w:rsid w:val="00FC24F0"/>
    <w:rsid w:val="00FC6B9D"/>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E63AE-EE98-4E40-AFD7-19547B1B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21A46"/>
    <w:pPr>
      <w:ind w:left="720"/>
      <w:contextualSpacing/>
    </w:pPr>
    <w:rPr>
      <w:szCs w:val="20"/>
    </w:rPr>
  </w:style>
  <w:style w:type="paragraph" w:styleId="Sprechblasentext">
    <w:name w:val="Balloon Text"/>
    <w:basedOn w:val="Standard"/>
    <w:link w:val="SprechblasentextZchn"/>
    <w:semiHidden/>
    <w:unhideWhenUsed/>
    <w:rsid w:val="00231CC1"/>
    <w:rPr>
      <w:rFonts w:ascii="Segoe UI" w:hAnsi="Segoe UI" w:cs="Segoe UI"/>
      <w:sz w:val="18"/>
      <w:szCs w:val="18"/>
    </w:rPr>
  </w:style>
  <w:style w:type="character" w:customStyle="1" w:styleId="SprechblasentextZchn">
    <w:name w:val="Sprechblasentext Zchn"/>
    <w:basedOn w:val="Absatz-Standardschriftart"/>
    <w:link w:val="Sprechblasentext"/>
    <w:semiHidden/>
    <w:rsid w:val="00231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0005\Downloads\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130EE0-0155-4480-8938-F7FF834C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2</Pages>
  <Words>500</Words>
  <Characters>3491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Rüdiger, Doris</dc:creator>
  <dc:description/>
  <cp:lastModifiedBy>Baumann, Gerhard</cp:lastModifiedBy>
  <cp:revision>11</cp:revision>
  <cp:lastPrinted>2023-10-06T06:06:00Z</cp:lastPrinted>
  <dcterms:created xsi:type="dcterms:W3CDTF">2023-07-25T08:37:00Z</dcterms:created>
  <dcterms:modified xsi:type="dcterms:W3CDTF">2023-10-06T06:06:00Z</dcterms:modified>
</cp:coreProperties>
</file>