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C127A6">
        <w:t>15</w:t>
      </w:r>
      <w:r w:rsidRPr="006E0575">
        <w:t xml:space="preserve"> zur GRDrs</w:t>
      </w:r>
      <w:r w:rsidR="00A7137F">
        <w:t>.</w:t>
      </w:r>
      <w:r w:rsidRPr="006E0575">
        <w:t xml:space="preserve"> </w:t>
      </w:r>
      <w:r w:rsidR="00A7137F">
        <w:t>820</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E14CF1">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E14CF1" w:rsidP="0030686C">
            <w:pPr>
              <w:rPr>
                <w:sz w:val="20"/>
              </w:rPr>
            </w:pPr>
            <w:r>
              <w:rPr>
                <w:sz w:val="20"/>
              </w:rPr>
              <w:t>23-3.3</w:t>
            </w:r>
          </w:p>
          <w:p w:rsidR="0011112B" w:rsidRDefault="0011112B" w:rsidP="0030686C">
            <w:pPr>
              <w:rPr>
                <w:sz w:val="20"/>
              </w:rPr>
            </w:pPr>
          </w:p>
          <w:p w:rsidR="005F5B3D" w:rsidRPr="006E0575" w:rsidRDefault="009D36EF" w:rsidP="0030686C">
            <w:pPr>
              <w:rPr>
                <w:sz w:val="20"/>
              </w:rPr>
            </w:pPr>
            <w:r w:rsidRPr="009D36EF">
              <w:rPr>
                <w:sz w:val="20"/>
              </w:rPr>
              <w:t>2330 6030</w:t>
            </w:r>
          </w:p>
        </w:tc>
        <w:tc>
          <w:tcPr>
            <w:tcW w:w="1701" w:type="dxa"/>
          </w:tcPr>
          <w:p w:rsidR="005F5B3D" w:rsidRDefault="005F5B3D" w:rsidP="0030686C">
            <w:pPr>
              <w:rPr>
                <w:sz w:val="20"/>
              </w:rPr>
            </w:pPr>
          </w:p>
          <w:p w:rsidR="005F5B3D" w:rsidRPr="006E0575" w:rsidRDefault="00E14CF1" w:rsidP="0030686C">
            <w:pPr>
              <w:rPr>
                <w:sz w:val="20"/>
              </w:rPr>
            </w:pPr>
            <w:r>
              <w:rPr>
                <w:sz w:val="20"/>
              </w:rPr>
              <w:t>Liegenschaftsamt</w:t>
            </w:r>
          </w:p>
        </w:tc>
        <w:tc>
          <w:tcPr>
            <w:tcW w:w="851" w:type="dxa"/>
          </w:tcPr>
          <w:p w:rsidR="005F5B3D" w:rsidRDefault="005F5B3D" w:rsidP="0030686C">
            <w:pPr>
              <w:rPr>
                <w:sz w:val="20"/>
              </w:rPr>
            </w:pPr>
          </w:p>
          <w:p w:rsidR="005F5B3D" w:rsidRPr="006E0575" w:rsidRDefault="003467D9" w:rsidP="0030686C">
            <w:pPr>
              <w:rPr>
                <w:sz w:val="20"/>
              </w:rPr>
            </w:pPr>
            <w:r>
              <w:rPr>
                <w:sz w:val="20"/>
              </w:rPr>
              <w:t>EG 6</w:t>
            </w:r>
          </w:p>
        </w:tc>
        <w:tc>
          <w:tcPr>
            <w:tcW w:w="1701" w:type="dxa"/>
          </w:tcPr>
          <w:p w:rsidR="005F5B3D" w:rsidRDefault="005F5B3D" w:rsidP="0030686C">
            <w:pPr>
              <w:rPr>
                <w:sz w:val="20"/>
              </w:rPr>
            </w:pPr>
          </w:p>
          <w:p w:rsidR="005F5B3D" w:rsidRPr="006E0575" w:rsidRDefault="00A7137F" w:rsidP="00A7137F">
            <w:pPr>
              <w:rPr>
                <w:sz w:val="20"/>
              </w:rPr>
            </w:pPr>
            <w:r>
              <w:rPr>
                <w:sz w:val="20"/>
              </w:rPr>
              <w:t>Sachbearbeiter/ -in</w:t>
            </w:r>
          </w:p>
        </w:tc>
        <w:tc>
          <w:tcPr>
            <w:tcW w:w="851" w:type="dxa"/>
            <w:shd w:val="pct12" w:color="auto" w:fill="FFFFFF"/>
          </w:tcPr>
          <w:p w:rsidR="005F5B3D" w:rsidRDefault="005F5B3D" w:rsidP="0030686C">
            <w:pPr>
              <w:rPr>
                <w:sz w:val="20"/>
              </w:rPr>
            </w:pPr>
          </w:p>
          <w:p w:rsidR="005F5B3D" w:rsidRPr="006E0575" w:rsidRDefault="003467D9" w:rsidP="0030686C">
            <w:pPr>
              <w:rPr>
                <w:sz w:val="20"/>
              </w:rPr>
            </w:pPr>
            <w:r>
              <w:rPr>
                <w:sz w:val="20"/>
              </w:rPr>
              <w:t>0,5</w:t>
            </w:r>
          </w:p>
        </w:tc>
        <w:tc>
          <w:tcPr>
            <w:tcW w:w="1134" w:type="dxa"/>
          </w:tcPr>
          <w:p w:rsidR="005F5B3D" w:rsidRDefault="005F5B3D" w:rsidP="0030686C">
            <w:pPr>
              <w:rPr>
                <w:sz w:val="20"/>
              </w:rPr>
            </w:pPr>
          </w:p>
          <w:p w:rsidR="005F5B3D" w:rsidRPr="006E0575" w:rsidRDefault="00A7137F" w:rsidP="0030686C">
            <w:pPr>
              <w:rPr>
                <w:sz w:val="20"/>
              </w:rPr>
            </w:pPr>
            <w:r>
              <w:rPr>
                <w:sz w:val="20"/>
              </w:rPr>
              <w:t>-</w:t>
            </w:r>
          </w:p>
        </w:tc>
        <w:tc>
          <w:tcPr>
            <w:tcW w:w="1588" w:type="dxa"/>
          </w:tcPr>
          <w:p w:rsidR="005F5B3D" w:rsidRDefault="005F5B3D" w:rsidP="0030686C">
            <w:pPr>
              <w:rPr>
                <w:sz w:val="20"/>
              </w:rPr>
            </w:pPr>
          </w:p>
          <w:p w:rsidR="005F5B3D" w:rsidRPr="006E0575" w:rsidRDefault="00A7137F" w:rsidP="00A7137F">
            <w:pPr>
              <w:rPr>
                <w:sz w:val="20"/>
              </w:rPr>
            </w:pPr>
            <w:r>
              <w:rPr>
                <w:sz w:val="20"/>
              </w:rPr>
              <w:t>26.75</w:t>
            </w:r>
            <w:r w:rsidR="003467D9">
              <w:rPr>
                <w:sz w:val="20"/>
              </w:rPr>
              <w:t>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1945EB" w:rsidRDefault="001945EB" w:rsidP="001945EB">
      <w:r>
        <w:t>Für die Sachbearbeitung im Bereich der elektronischen Schlüsselverwaltu</w:t>
      </w:r>
      <w:r w:rsidR="00A7137F">
        <w:t>ng wird der Schaffung einer 0,5-</w:t>
      </w:r>
      <w:r>
        <w:t>Stelle in EG 6 im Sachgebiet Services (23-3.3) in der Abteilung Immobilienmanagement des Liegenschaftsamtes zugestimmt.</w:t>
      </w:r>
    </w:p>
    <w:p w:rsidR="003D7B0B" w:rsidRDefault="003D7B0B" w:rsidP="00884D6C">
      <w:pPr>
        <w:pStyle w:val="berschrift1"/>
      </w:pPr>
      <w:r>
        <w:t>2</w:t>
      </w:r>
      <w:r>
        <w:tab/>
        <w:t>Schaffun</w:t>
      </w:r>
      <w:r w:rsidRPr="00884D6C">
        <w:rPr>
          <w:u w:val="none"/>
        </w:rPr>
        <w:t>g</w:t>
      </w:r>
      <w:r>
        <w:t>skriterien</w:t>
      </w:r>
    </w:p>
    <w:p w:rsidR="003D7B0B" w:rsidRDefault="003D7B0B" w:rsidP="00884D6C"/>
    <w:p w:rsidR="001945EB" w:rsidRDefault="009B150B" w:rsidP="00884D6C">
      <w:r>
        <w:t xml:space="preserve">Das Kriterium Arbeitsvermehrung wird </w:t>
      </w:r>
      <w:r w:rsidR="00A7137F">
        <w:t>im Umfang einer 0,5-</w:t>
      </w:r>
      <w:r>
        <w:t>Stelle erfüllt.</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1945EB" w:rsidRDefault="001945EB" w:rsidP="00E14CF1">
      <w:pPr>
        <w:rPr>
          <w:rFonts w:cs="Arial"/>
        </w:rPr>
      </w:pPr>
    </w:p>
    <w:p w:rsidR="00E14CF1" w:rsidRDefault="00E14CF1" w:rsidP="00E14CF1">
      <w:pPr>
        <w:rPr>
          <w:szCs w:val="20"/>
        </w:rPr>
      </w:pPr>
      <w:r w:rsidRPr="00E14CF1">
        <w:rPr>
          <w:rFonts w:cs="Arial"/>
        </w:rPr>
        <w:t xml:space="preserve">Mit dem Abschluss des Projektes Immo 23 </w:t>
      </w:r>
      <w:r w:rsidRPr="00E14CF1">
        <w:rPr>
          <w:szCs w:val="20"/>
        </w:rPr>
        <w:t xml:space="preserve">im Jahr 2008 hat das Liegenschaftsamt unter anderem auch die Betreuung von sämtlichen Schließanlagen übernommen. </w:t>
      </w:r>
      <w:r w:rsidR="00976547">
        <w:rPr>
          <w:szCs w:val="20"/>
        </w:rPr>
        <w:t xml:space="preserve">Zum damaligen Zeitpunkt waren lediglich </w:t>
      </w:r>
      <w:r w:rsidRPr="00E14CF1">
        <w:rPr>
          <w:szCs w:val="20"/>
        </w:rPr>
        <w:t xml:space="preserve">zwei </w:t>
      </w:r>
      <w:r w:rsidR="00976547">
        <w:rPr>
          <w:szCs w:val="20"/>
        </w:rPr>
        <w:t>der über</w:t>
      </w:r>
      <w:r w:rsidR="006866C4">
        <w:rPr>
          <w:szCs w:val="20"/>
        </w:rPr>
        <w:t xml:space="preserve"> 1.000 Gebäude</w:t>
      </w:r>
      <w:r w:rsidRPr="00E14CF1">
        <w:rPr>
          <w:szCs w:val="20"/>
        </w:rPr>
        <w:t xml:space="preserve"> mit einem elektronischen Schließsystem ausgestattet.</w:t>
      </w:r>
      <w:r w:rsidR="00976547">
        <w:rPr>
          <w:szCs w:val="20"/>
        </w:rPr>
        <w:t xml:space="preserve"> In der Zwischenzeit wurden insgesamt 40 Liegenschaften von einem herkömmlichen Schlüsselsystem auf eine elektronische Schließanlage umgestellt.</w:t>
      </w:r>
      <w:r w:rsidR="00186499">
        <w:rPr>
          <w:szCs w:val="20"/>
        </w:rPr>
        <w:t xml:space="preserve"> </w:t>
      </w:r>
      <w:r w:rsidR="00976547">
        <w:rPr>
          <w:szCs w:val="20"/>
        </w:rPr>
        <w:t>Allein i</w:t>
      </w:r>
      <w:r w:rsidRPr="00E14CF1">
        <w:rPr>
          <w:szCs w:val="20"/>
        </w:rPr>
        <w:t>n den letzten 6 Jahren wurden 17 Gebäude m</w:t>
      </w:r>
      <w:r w:rsidR="00976547">
        <w:rPr>
          <w:szCs w:val="20"/>
        </w:rPr>
        <w:t>i</w:t>
      </w:r>
      <w:r w:rsidR="00186499">
        <w:rPr>
          <w:szCs w:val="20"/>
        </w:rPr>
        <w:t>t solchen Systemen ausgerüstet.</w:t>
      </w:r>
    </w:p>
    <w:p w:rsidR="00E14CF1" w:rsidRPr="00E14CF1" w:rsidRDefault="00E14CF1" w:rsidP="00E14CF1">
      <w:pPr>
        <w:rPr>
          <w:rFonts w:cs="Arial"/>
        </w:rPr>
      </w:pPr>
    </w:p>
    <w:p w:rsidR="00E14CF1" w:rsidRPr="00E14CF1" w:rsidRDefault="00E14CF1" w:rsidP="00E14CF1">
      <w:pPr>
        <w:rPr>
          <w:rFonts w:cs="Arial"/>
        </w:rPr>
      </w:pPr>
      <w:r w:rsidRPr="00E14CF1">
        <w:rPr>
          <w:rFonts w:cs="Arial"/>
        </w:rPr>
        <w:t>Es ist davon auszugehen, dass künftig nur noch elektronische Schließanlagen eingebaut werden.</w:t>
      </w:r>
    </w:p>
    <w:p w:rsidR="00E14CF1" w:rsidRPr="00E14CF1" w:rsidRDefault="00E14CF1" w:rsidP="00E14CF1">
      <w:pPr>
        <w:rPr>
          <w:rFonts w:cs="Arial"/>
        </w:rPr>
      </w:pPr>
    </w:p>
    <w:p w:rsidR="008029A3" w:rsidRDefault="00E14CF1" w:rsidP="00E14CF1">
      <w:pPr>
        <w:rPr>
          <w:rFonts w:cs="Arial"/>
        </w:rPr>
      </w:pPr>
      <w:r w:rsidRPr="00E14CF1">
        <w:rPr>
          <w:rFonts w:cs="Arial"/>
        </w:rPr>
        <w:t>Die künftigen Aufgaben der Schlüsselverwaltung für die elektronischen Schließanlagen</w:t>
      </w:r>
    </w:p>
    <w:p w:rsidR="008029A3" w:rsidRDefault="008029A3" w:rsidP="00E14CF1">
      <w:pPr>
        <w:rPr>
          <w:rFonts w:cs="Arial"/>
        </w:rPr>
      </w:pPr>
      <w:r>
        <w:rPr>
          <w:rFonts w:cs="Arial"/>
        </w:rPr>
        <w:t xml:space="preserve">erfordern ein </w:t>
      </w:r>
      <w:r w:rsidR="006866C4">
        <w:rPr>
          <w:rFonts w:cs="Arial"/>
        </w:rPr>
        <w:t>höheres Fachwissen und gestalten</w:t>
      </w:r>
      <w:r>
        <w:rPr>
          <w:rFonts w:cs="Arial"/>
        </w:rPr>
        <w:t xml:space="preserve"> sich zeitlich deutlich intensiver in der Betreuung gegenüber einer manuellen Schließanlage.</w:t>
      </w:r>
    </w:p>
    <w:p w:rsidR="008029A3" w:rsidRDefault="008029A3" w:rsidP="00E14CF1">
      <w:pPr>
        <w:rPr>
          <w:rFonts w:cs="Arial"/>
        </w:rPr>
      </w:pPr>
      <w:r>
        <w:rPr>
          <w:rFonts w:cs="Arial"/>
        </w:rPr>
        <w:t xml:space="preserve">Aufgrund der erweiterten Funktionen umfasst das Aufgabengebiet hierfür </w:t>
      </w:r>
      <w:r w:rsidR="00186499">
        <w:rPr>
          <w:rFonts w:cs="Arial"/>
        </w:rPr>
        <w:t xml:space="preserve">u. a. </w:t>
      </w:r>
      <w:r>
        <w:rPr>
          <w:rFonts w:cs="Arial"/>
        </w:rPr>
        <w:t>folgende Tätigkeiten:</w:t>
      </w:r>
    </w:p>
    <w:p w:rsidR="00E14CF1" w:rsidRPr="00E14CF1" w:rsidRDefault="00E14CF1" w:rsidP="00E14CF1">
      <w:pPr>
        <w:numPr>
          <w:ilvl w:val="0"/>
          <w:numId w:val="8"/>
        </w:numPr>
        <w:contextualSpacing/>
        <w:rPr>
          <w:rFonts w:eastAsia="Calibri" w:cs="Arial"/>
          <w:lang w:eastAsia="en-US"/>
        </w:rPr>
      </w:pPr>
      <w:r w:rsidRPr="00E14CF1">
        <w:rPr>
          <w:rFonts w:eastAsia="Calibri" w:cs="Arial"/>
          <w:lang w:eastAsia="en-US"/>
        </w:rPr>
        <w:t xml:space="preserve">Digitale Verwaltung der </w:t>
      </w:r>
      <w:r w:rsidRPr="00E14CF1">
        <w:rPr>
          <w:rFonts w:eastAsia="Calibri" w:cs="Arial"/>
          <w:bCs/>
          <w:lang w:eastAsia="en-US"/>
        </w:rPr>
        <w:t>Schließanlagen</w:t>
      </w:r>
      <w:r w:rsidRPr="00E14CF1">
        <w:rPr>
          <w:rFonts w:eastAsia="Calibri" w:cs="Arial"/>
          <w:lang w:eastAsia="en-US"/>
        </w:rPr>
        <w:t xml:space="preserve"> und </w:t>
      </w:r>
      <w:r w:rsidRPr="00E14CF1">
        <w:rPr>
          <w:rFonts w:eastAsia="Calibri" w:cs="Arial"/>
          <w:bCs/>
          <w:lang w:eastAsia="en-US"/>
        </w:rPr>
        <w:t>Schlüsseln/Transpondern</w:t>
      </w:r>
      <w:r w:rsidR="00186499">
        <w:rPr>
          <w:rFonts w:eastAsia="Calibri" w:cs="Arial"/>
          <w:bCs/>
          <w:lang w:eastAsia="en-US"/>
        </w:rPr>
        <w:t>;</w:t>
      </w:r>
    </w:p>
    <w:p w:rsidR="00E14CF1" w:rsidRPr="00E14CF1" w:rsidRDefault="00E14CF1" w:rsidP="00E14CF1">
      <w:pPr>
        <w:numPr>
          <w:ilvl w:val="0"/>
          <w:numId w:val="8"/>
        </w:numPr>
        <w:contextualSpacing/>
        <w:rPr>
          <w:rFonts w:eastAsia="Calibri" w:cs="Arial"/>
          <w:lang w:eastAsia="en-US"/>
        </w:rPr>
      </w:pPr>
      <w:r w:rsidRPr="00E14CF1">
        <w:rPr>
          <w:rFonts w:eastAsia="Calibri" w:cs="Arial"/>
          <w:lang w:eastAsia="en-US"/>
        </w:rPr>
        <w:lastRenderedPageBreak/>
        <w:t xml:space="preserve">Daten für </w:t>
      </w:r>
      <w:r w:rsidRPr="00E14CF1">
        <w:rPr>
          <w:rFonts w:eastAsia="Calibri" w:cs="Arial"/>
          <w:bCs/>
          <w:lang w:eastAsia="en-US"/>
        </w:rPr>
        <w:t>elektronische</w:t>
      </w:r>
      <w:r w:rsidRPr="00E14CF1">
        <w:rPr>
          <w:rFonts w:eastAsia="Calibri" w:cs="Arial"/>
          <w:lang w:eastAsia="en-US"/>
        </w:rPr>
        <w:t xml:space="preserve"> Schließung pflegen</w:t>
      </w:r>
      <w:r w:rsidR="00186499">
        <w:rPr>
          <w:rFonts w:eastAsia="Calibri" w:cs="Arial"/>
          <w:lang w:eastAsia="en-US"/>
        </w:rPr>
        <w:t>;</w:t>
      </w:r>
    </w:p>
    <w:p w:rsidR="00E14CF1" w:rsidRPr="00E14CF1" w:rsidRDefault="00E14CF1" w:rsidP="00E14CF1">
      <w:pPr>
        <w:numPr>
          <w:ilvl w:val="0"/>
          <w:numId w:val="8"/>
        </w:numPr>
        <w:contextualSpacing/>
        <w:rPr>
          <w:rFonts w:eastAsia="Calibri" w:cs="Arial"/>
          <w:lang w:eastAsia="en-US"/>
        </w:rPr>
      </w:pPr>
      <w:r w:rsidRPr="00E14CF1">
        <w:rPr>
          <w:rFonts w:eastAsia="Calibri" w:cs="Arial"/>
          <w:lang w:eastAsia="en-US"/>
        </w:rPr>
        <w:t>Berechtigungen bei elektronischen Schlüsseln programmieren</w:t>
      </w:r>
      <w:r w:rsidR="00186499">
        <w:rPr>
          <w:rFonts w:eastAsia="Calibri" w:cs="Arial"/>
          <w:lang w:eastAsia="en-US"/>
        </w:rPr>
        <w:t>;</w:t>
      </w:r>
    </w:p>
    <w:p w:rsidR="00E14CF1" w:rsidRPr="00E14CF1" w:rsidRDefault="00E14CF1" w:rsidP="00E14CF1">
      <w:pPr>
        <w:numPr>
          <w:ilvl w:val="0"/>
          <w:numId w:val="8"/>
        </w:numPr>
        <w:contextualSpacing/>
        <w:rPr>
          <w:rFonts w:eastAsia="Calibri" w:cs="Arial"/>
          <w:lang w:eastAsia="en-US"/>
        </w:rPr>
      </w:pPr>
      <w:r w:rsidRPr="00E14CF1">
        <w:rPr>
          <w:rFonts w:eastAsia="Calibri" w:cs="Arial"/>
          <w:lang w:eastAsia="en-US"/>
        </w:rPr>
        <w:t>Bestellung von elektronischen Schließzylindern und elektronischen Transpondern</w:t>
      </w:r>
      <w:r w:rsidR="00186499">
        <w:rPr>
          <w:rFonts w:eastAsia="Calibri" w:cs="Arial"/>
          <w:lang w:eastAsia="en-US"/>
        </w:rPr>
        <w:t>;</w:t>
      </w:r>
    </w:p>
    <w:p w:rsidR="00E14CF1" w:rsidRPr="00E14CF1" w:rsidRDefault="00E14CF1" w:rsidP="00E14CF1">
      <w:pPr>
        <w:numPr>
          <w:ilvl w:val="0"/>
          <w:numId w:val="6"/>
        </w:numPr>
        <w:contextualSpacing/>
        <w:rPr>
          <w:rFonts w:eastAsia="Calibri" w:cs="Arial"/>
          <w:lang w:eastAsia="en-US"/>
        </w:rPr>
      </w:pPr>
      <w:r w:rsidRPr="00E14CF1">
        <w:rPr>
          <w:rFonts w:eastAsia="Calibri" w:cs="Arial"/>
          <w:lang w:eastAsia="en-US"/>
        </w:rPr>
        <w:t>Aus- und Einbau von elektronischen Schließkomponenten</w:t>
      </w:r>
      <w:r w:rsidR="00186499">
        <w:rPr>
          <w:rFonts w:eastAsia="Calibri" w:cs="Arial"/>
          <w:lang w:eastAsia="en-US"/>
        </w:rPr>
        <w:t>;</w:t>
      </w:r>
    </w:p>
    <w:p w:rsidR="00E14CF1" w:rsidRPr="00E14CF1" w:rsidRDefault="00E14CF1" w:rsidP="00E14CF1">
      <w:pPr>
        <w:numPr>
          <w:ilvl w:val="0"/>
          <w:numId w:val="6"/>
        </w:numPr>
        <w:contextualSpacing/>
        <w:rPr>
          <w:rFonts w:eastAsia="Calibri" w:cs="Arial"/>
          <w:lang w:eastAsia="en-US"/>
        </w:rPr>
      </w:pPr>
      <w:r w:rsidRPr="00E14CF1">
        <w:rPr>
          <w:rFonts w:eastAsia="Calibri" w:cs="Arial"/>
          <w:bCs/>
          <w:lang w:eastAsia="en-US"/>
        </w:rPr>
        <w:t>Batteriewartung</w:t>
      </w:r>
      <w:r w:rsidRPr="00E14CF1">
        <w:rPr>
          <w:rFonts w:eastAsia="Calibri" w:cs="Arial"/>
          <w:b/>
          <w:bCs/>
          <w:lang w:eastAsia="en-US"/>
        </w:rPr>
        <w:t xml:space="preserve">: </w:t>
      </w:r>
      <w:r w:rsidRPr="00E14CF1">
        <w:rPr>
          <w:rFonts w:eastAsia="Calibri" w:cs="Arial"/>
          <w:lang w:eastAsia="en-US"/>
        </w:rPr>
        <w:t xml:space="preserve">Die Systeme sind wahlweise </w:t>
      </w:r>
      <w:r w:rsidR="006866C4">
        <w:rPr>
          <w:rFonts w:eastAsia="Calibri" w:cs="Arial"/>
          <w:lang w:eastAsia="en-US"/>
        </w:rPr>
        <w:t>b</w:t>
      </w:r>
      <w:r w:rsidRPr="00E14CF1">
        <w:rPr>
          <w:rFonts w:eastAsia="Calibri" w:cs="Arial"/>
          <w:lang w:eastAsia="en-US"/>
        </w:rPr>
        <w:t>atteriebetrieben. Je nach Auslastung ist in unregelmäßigen Abständen ein Batteriewechsel im Beschlag od</w:t>
      </w:r>
      <w:r w:rsidR="00186499">
        <w:rPr>
          <w:rFonts w:eastAsia="Calibri" w:cs="Arial"/>
          <w:lang w:eastAsia="en-US"/>
        </w:rPr>
        <w:t>er im Digitalzylinder notwendig;</w:t>
      </w:r>
    </w:p>
    <w:p w:rsidR="00E14CF1" w:rsidRPr="00E14CF1" w:rsidRDefault="00E14CF1" w:rsidP="00E14CF1">
      <w:pPr>
        <w:numPr>
          <w:ilvl w:val="0"/>
          <w:numId w:val="6"/>
        </w:numPr>
        <w:autoSpaceDE w:val="0"/>
        <w:autoSpaceDN w:val="0"/>
        <w:adjustRightInd w:val="0"/>
        <w:contextualSpacing/>
        <w:rPr>
          <w:rFonts w:eastAsia="Calibri" w:cs="Arial"/>
          <w:lang w:eastAsia="en-US"/>
        </w:rPr>
      </w:pPr>
      <w:r w:rsidRPr="00E14CF1">
        <w:rPr>
          <w:rFonts w:eastAsia="Calibri" w:cs="Arial"/>
          <w:lang w:eastAsia="en-US"/>
        </w:rPr>
        <w:t xml:space="preserve">Aufbau und </w:t>
      </w:r>
      <w:bookmarkStart w:id="0" w:name="_GoBack"/>
      <w:bookmarkEnd w:id="0"/>
      <w:r w:rsidRPr="00E14CF1">
        <w:rPr>
          <w:rFonts w:eastAsia="Calibri" w:cs="Arial"/>
          <w:lang w:eastAsia="en-US"/>
        </w:rPr>
        <w:t>Bearbeitung eines zentralen Schließmanagementsystems für die Verwaltung von mechanischen und elektronischen Zugangssystemen</w:t>
      </w:r>
      <w:r w:rsidR="00186499">
        <w:rPr>
          <w:rFonts w:eastAsia="Calibri" w:cs="Arial"/>
          <w:lang w:eastAsia="en-US"/>
        </w:rPr>
        <w:t>;</w:t>
      </w:r>
    </w:p>
    <w:p w:rsidR="00E14CF1" w:rsidRPr="00E14CF1" w:rsidRDefault="00E14CF1" w:rsidP="00E14CF1">
      <w:pPr>
        <w:numPr>
          <w:ilvl w:val="0"/>
          <w:numId w:val="6"/>
        </w:numPr>
        <w:autoSpaceDE w:val="0"/>
        <w:autoSpaceDN w:val="0"/>
        <w:adjustRightInd w:val="0"/>
        <w:contextualSpacing/>
        <w:rPr>
          <w:rFonts w:eastAsia="Calibri" w:cs="Arial"/>
          <w:lang w:eastAsia="en-US"/>
        </w:rPr>
      </w:pPr>
      <w:r w:rsidRPr="00E14CF1">
        <w:rPr>
          <w:rFonts w:eastAsia="Calibri" w:cs="Arial"/>
          <w:lang w:eastAsia="en-US"/>
        </w:rPr>
        <w:t>Laufende Schulungen über viele Softwaresysteme, da aufgrund der Beschaffungsordnung beim Einkauf von elektronischen Schl</w:t>
      </w:r>
      <w:r w:rsidR="00A7137F">
        <w:rPr>
          <w:rFonts w:eastAsia="Calibri" w:cs="Arial"/>
          <w:lang w:eastAsia="en-US"/>
        </w:rPr>
        <w:t>ießsystemen die Bedarfsmeldung p</w:t>
      </w:r>
      <w:r w:rsidRPr="00E14CF1">
        <w:rPr>
          <w:rFonts w:eastAsia="Calibri" w:cs="Arial"/>
          <w:lang w:eastAsia="en-US"/>
        </w:rPr>
        <w:t>roduktneutral ausgeschrieben werden muss. Somit werden in jedem Gebäude verschiedene elektronische Schließsystemen eingebaut.</w:t>
      </w:r>
    </w:p>
    <w:p w:rsidR="003D7B0B" w:rsidRPr="00165C0D" w:rsidRDefault="003D7B0B" w:rsidP="00165C0D">
      <w:pPr>
        <w:pStyle w:val="berschrift2"/>
      </w:pPr>
      <w:r w:rsidRPr="00165C0D">
        <w:t>3.2</w:t>
      </w:r>
      <w:r w:rsidRPr="00165C0D">
        <w:tab/>
        <w:t>Bisherige Aufgabenwahrnehmung</w:t>
      </w:r>
    </w:p>
    <w:p w:rsidR="003D7B0B" w:rsidRDefault="003D7B0B" w:rsidP="00884D6C"/>
    <w:p w:rsidR="008029A3" w:rsidRPr="00E14CF1" w:rsidRDefault="00E14CF1" w:rsidP="00E14CF1">
      <w:pPr>
        <w:rPr>
          <w:szCs w:val="20"/>
        </w:rPr>
      </w:pPr>
      <w:r w:rsidRPr="00E14CF1">
        <w:rPr>
          <w:szCs w:val="20"/>
        </w:rPr>
        <w:t>Die klassische Schlüsselverwaltung der mechanischen Schließanlagen für fast 1.000 Liegens</w:t>
      </w:r>
      <w:r w:rsidR="00186499">
        <w:rPr>
          <w:szCs w:val="20"/>
        </w:rPr>
        <w:t>chaften wird von einer Stelle im Umfang von</w:t>
      </w:r>
      <w:r w:rsidRPr="00E14CF1">
        <w:rPr>
          <w:szCs w:val="20"/>
        </w:rPr>
        <w:t xml:space="preserve"> 100 % betreut.</w:t>
      </w:r>
    </w:p>
    <w:p w:rsidR="003D7B0B" w:rsidRPr="00186499" w:rsidRDefault="00E14CF1" w:rsidP="00884D6C">
      <w:pPr>
        <w:rPr>
          <w:szCs w:val="20"/>
        </w:rPr>
      </w:pPr>
      <w:r w:rsidRPr="00E14CF1">
        <w:rPr>
          <w:szCs w:val="20"/>
        </w:rPr>
        <w:t>Es entstehen zunehmend Rückstände bei der Abarbeitung der auflaufenden Anfragen über die elektronischen Schließsysteme.</w:t>
      </w:r>
      <w:r w:rsidR="008029A3">
        <w:rPr>
          <w:szCs w:val="20"/>
        </w:rPr>
        <w:t xml:space="preserve"> </w:t>
      </w:r>
      <w:r w:rsidR="00186499" w:rsidRPr="00E14CF1">
        <w:rPr>
          <w:szCs w:val="20"/>
        </w:rPr>
        <w:t xml:space="preserve">Die </w:t>
      </w:r>
      <w:r w:rsidR="00186499" w:rsidRPr="00E14CF1">
        <w:rPr>
          <w:rFonts w:cs="Arial"/>
          <w:color w:val="000000"/>
          <w:szCs w:val="20"/>
        </w:rPr>
        <w:t>Arbeitsvermehrung kann aus dem Bestand nicht mehr aufgefangen werden.</w:t>
      </w:r>
    </w:p>
    <w:p w:rsidR="003D7B0B" w:rsidRDefault="006E0575" w:rsidP="00884D6C">
      <w:pPr>
        <w:pStyle w:val="berschrift2"/>
      </w:pPr>
      <w:r>
        <w:t>3.3</w:t>
      </w:r>
      <w:r w:rsidR="003D7B0B">
        <w:tab/>
        <w:t>Auswirkungen bei Ablehnung der Stellenschaffungen</w:t>
      </w:r>
    </w:p>
    <w:p w:rsidR="003D7B0B" w:rsidRDefault="003D7B0B" w:rsidP="00884D6C"/>
    <w:p w:rsidR="00186499" w:rsidRDefault="00E14CF1" w:rsidP="00186499">
      <w:pPr>
        <w:rPr>
          <w:rFonts w:cs="Arial"/>
          <w:szCs w:val="20"/>
        </w:rPr>
      </w:pPr>
      <w:r w:rsidRPr="00E14CF1">
        <w:rPr>
          <w:rFonts w:cs="Arial"/>
          <w:color w:val="000000"/>
          <w:szCs w:val="20"/>
        </w:rPr>
        <w:t>Sicherheitsrelevante Aspekte können nicht mehr vollumfänglich abgearbeitet werden. Es entsteht ein unkalkulierbares Sicherheitsrisiko für die internen und externen Nutzer, da der jetzigen Stelle weder quantitativ noch qualitativ möglich ist, die neuen Anforderungen der elektronischen Schließsysteme abzudecken.</w:t>
      </w:r>
      <w:r w:rsidR="00186499">
        <w:rPr>
          <w:rFonts w:cs="Arial"/>
          <w:color w:val="000000"/>
          <w:szCs w:val="20"/>
        </w:rPr>
        <w:t xml:space="preserve"> </w:t>
      </w:r>
    </w:p>
    <w:p w:rsidR="00E14CF1" w:rsidRPr="00E14CF1" w:rsidRDefault="00E14CF1" w:rsidP="00E14CF1">
      <w:pPr>
        <w:rPr>
          <w:color w:val="000000"/>
          <w:szCs w:val="20"/>
        </w:rPr>
      </w:pPr>
    </w:p>
    <w:p w:rsidR="003D7B0B" w:rsidRDefault="00884D6C" w:rsidP="00884D6C">
      <w:pPr>
        <w:pStyle w:val="berschrift1"/>
      </w:pPr>
      <w:r>
        <w:t>4</w:t>
      </w:r>
      <w:r>
        <w:tab/>
      </w:r>
      <w:r w:rsidR="003D7B0B">
        <w:t>Stellenvermerke</w:t>
      </w:r>
    </w:p>
    <w:p w:rsidR="003D7B0B" w:rsidRDefault="003D7B0B" w:rsidP="00884D6C"/>
    <w:p w:rsidR="00DE362D" w:rsidRDefault="00A7137F"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F1" w:rsidRDefault="00E14CF1">
      <w:r>
        <w:separator/>
      </w:r>
    </w:p>
  </w:endnote>
  <w:endnote w:type="continuationSeparator" w:id="0">
    <w:p w:rsidR="00E14CF1" w:rsidRDefault="00E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F1" w:rsidRDefault="00E14CF1">
      <w:r>
        <w:separator/>
      </w:r>
    </w:p>
  </w:footnote>
  <w:footnote w:type="continuationSeparator" w:id="0">
    <w:p w:rsidR="00E14CF1" w:rsidRDefault="00E1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6866C4">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7771CE3"/>
    <w:multiLevelType w:val="hybridMultilevel"/>
    <w:tmpl w:val="E01E65DE"/>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FF40228"/>
    <w:multiLevelType w:val="hybridMultilevel"/>
    <w:tmpl w:val="25408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41B61"/>
    <w:multiLevelType w:val="hybridMultilevel"/>
    <w:tmpl w:val="65226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F1"/>
    <w:rsid w:val="00026253"/>
    <w:rsid w:val="00055758"/>
    <w:rsid w:val="00061F0B"/>
    <w:rsid w:val="000A1146"/>
    <w:rsid w:val="001034AF"/>
    <w:rsid w:val="0011112B"/>
    <w:rsid w:val="0014415D"/>
    <w:rsid w:val="00151488"/>
    <w:rsid w:val="00163034"/>
    <w:rsid w:val="00164678"/>
    <w:rsid w:val="00165C0D"/>
    <w:rsid w:val="00181857"/>
    <w:rsid w:val="00184EDC"/>
    <w:rsid w:val="00186499"/>
    <w:rsid w:val="001945EB"/>
    <w:rsid w:val="00194770"/>
    <w:rsid w:val="001A5F9B"/>
    <w:rsid w:val="001F7237"/>
    <w:rsid w:val="002924CB"/>
    <w:rsid w:val="002A20D1"/>
    <w:rsid w:val="002A4DE3"/>
    <w:rsid w:val="002B5955"/>
    <w:rsid w:val="0030686C"/>
    <w:rsid w:val="003467D9"/>
    <w:rsid w:val="00380937"/>
    <w:rsid w:val="00397717"/>
    <w:rsid w:val="003D7B0B"/>
    <w:rsid w:val="003E0F4B"/>
    <w:rsid w:val="003F0FAA"/>
    <w:rsid w:val="00470135"/>
    <w:rsid w:val="0047606A"/>
    <w:rsid w:val="004908B5"/>
    <w:rsid w:val="0049121B"/>
    <w:rsid w:val="004A1688"/>
    <w:rsid w:val="004B6796"/>
    <w:rsid w:val="005A0A9D"/>
    <w:rsid w:val="005A56AA"/>
    <w:rsid w:val="005E19C6"/>
    <w:rsid w:val="005F5B3D"/>
    <w:rsid w:val="00606F80"/>
    <w:rsid w:val="00622CC7"/>
    <w:rsid w:val="006866C4"/>
    <w:rsid w:val="006A406B"/>
    <w:rsid w:val="006B6D50"/>
    <w:rsid w:val="006E0575"/>
    <w:rsid w:val="0072799A"/>
    <w:rsid w:val="00752BCE"/>
    <w:rsid w:val="00754659"/>
    <w:rsid w:val="007E3B79"/>
    <w:rsid w:val="008029A3"/>
    <w:rsid w:val="008066EE"/>
    <w:rsid w:val="00817BB6"/>
    <w:rsid w:val="00884D6C"/>
    <w:rsid w:val="00920F00"/>
    <w:rsid w:val="009373F6"/>
    <w:rsid w:val="00946276"/>
    <w:rsid w:val="0096038F"/>
    <w:rsid w:val="00976547"/>
    <w:rsid w:val="00976588"/>
    <w:rsid w:val="009B150B"/>
    <w:rsid w:val="009D36EF"/>
    <w:rsid w:val="00A27CA7"/>
    <w:rsid w:val="00A45B30"/>
    <w:rsid w:val="00A7137F"/>
    <w:rsid w:val="00A71D0A"/>
    <w:rsid w:val="00A77F1E"/>
    <w:rsid w:val="00A847C4"/>
    <w:rsid w:val="00AB389D"/>
    <w:rsid w:val="00AE7B02"/>
    <w:rsid w:val="00AF0DEA"/>
    <w:rsid w:val="00AF25E0"/>
    <w:rsid w:val="00B04290"/>
    <w:rsid w:val="00B80DEF"/>
    <w:rsid w:val="00B86BB5"/>
    <w:rsid w:val="00B91903"/>
    <w:rsid w:val="00BC4669"/>
    <w:rsid w:val="00C127A6"/>
    <w:rsid w:val="00C16EF1"/>
    <w:rsid w:val="00C448D3"/>
    <w:rsid w:val="00CF62E5"/>
    <w:rsid w:val="00D66D3A"/>
    <w:rsid w:val="00D743D4"/>
    <w:rsid w:val="00DB3D6C"/>
    <w:rsid w:val="00DE362D"/>
    <w:rsid w:val="00E014B6"/>
    <w:rsid w:val="00E1162F"/>
    <w:rsid w:val="00E11D5F"/>
    <w:rsid w:val="00E14CF1"/>
    <w:rsid w:val="00E20E1F"/>
    <w:rsid w:val="00E42F96"/>
    <w:rsid w:val="00E7118F"/>
    <w:rsid w:val="00F27657"/>
    <w:rsid w:val="00F342DC"/>
    <w:rsid w:val="00F56F93"/>
    <w:rsid w:val="00F63041"/>
    <w:rsid w:val="00F76452"/>
    <w:rsid w:val="00FA20DA"/>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3FD3"/>
  <w15:docId w15:val="{9166CE3E-8DDD-43C7-A928-4119B2E2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Sprechblasentext">
    <w:name w:val="Balloon Text"/>
    <w:basedOn w:val="Standard"/>
    <w:link w:val="SprechblasentextZchn"/>
    <w:semiHidden/>
    <w:unhideWhenUsed/>
    <w:rsid w:val="00C127A6"/>
    <w:rPr>
      <w:rFonts w:ascii="Segoe UI" w:hAnsi="Segoe UI" w:cs="Segoe UI"/>
      <w:sz w:val="18"/>
      <w:szCs w:val="18"/>
    </w:rPr>
  </w:style>
  <w:style w:type="character" w:customStyle="1" w:styleId="SprechblasentextZchn">
    <w:name w:val="Sprechblasentext Zchn"/>
    <w:basedOn w:val="Absatz-Standardschriftart"/>
    <w:link w:val="Sprechblasentext"/>
    <w:semiHidden/>
    <w:rsid w:val="00C1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32208\Downloads\l112_muster-schaffung-zum-stellenplan-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l112_muster-schaffung-zum-stellenplan-7.dotx</Template>
  <TotalTime>0</TotalTime>
  <Pages>2</Pages>
  <Words>385</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Schindler, Susanne</dc:creator>
  <cp:lastModifiedBy>Baumann, Gerhard</cp:lastModifiedBy>
  <cp:revision>10</cp:revision>
  <cp:lastPrinted>2023-10-06T06:03:00Z</cp:lastPrinted>
  <dcterms:created xsi:type="dcterms:W3CDTF">2023-08-24T14:12:00Z</dcterms:created>
  <dcterms:modified xsi:type="dcterms:W3CDTF">2023-10-06T06:03:00Z</dcterms:modified>
</cp:coreProperties>
</file>