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187C98">
        <w:t>10</w:t>
      </w:r>
      <w:r w:rsidRPr="006E0575">
        <w:t xml:space="preserve"> zur GRDrs</w:t>
      </w:r>
      <w:r w:rsidR="00607EC1">
        <w:t>.</w:t>
      </w:r>
      <w:r w:rsidRPr="006E0575">
        <w:t xml:space="preserve"> </w:t>
      </w:r>
      <w:r w:rsidR="00607EC1">
        <w:t>820</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607EC1">
        <w:t>von</w:t>
      </w:r>
      <w:r w:rsidRPr="00796600">
        <w:t xml:space="preserve"> </w:t>
      </w:r>
      <w:r w:rsidR="00A34898" w:rsidRPr="00796600">
        <w:t>Stellen</w:t>
      </w:r>
      <w:r w:rsidRPr="00796600">
        <w:t>vermerk</w:t>
      </w:r>
      <w:r w:rsidR="00607EC1">
        <w:t>en</w:t>
      </w:r>
      <w:r w:rsidR="00A34898" w:rsidRPr="00796600">
        <w:br/>
      </w:r>
      <w:r w:rsidR="007B5FE2" w:rsidRPr="003A7A41">
        <w:t>zum</w:t>
      </w:r>
      <w:r w:rsidR="003D7B0B" w:rsidRPr="003A7A41">
        <w:t xml:space="preserve"> Stellenplan 20</w:t>
      </w:r>
      <w:r w:rsidR="00E37194">
        <w:t>2</w:t>
      </w:r>
      <w:r w:rsidR="00A01DFE">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01"/>
        <w:gridCol w:w="1627"/>
        <w:gridCol w:w="851"/>
        <w:gridCol w:w="1701"/>
        <w:gridCol w:w="851"/>
        <w:gridCol w:w="1346"/>
        <w:gridCol w:w="1376"/>
      </w:tblGrid>
      <w:tr w:rsidR="00891246" w:rsidRPr="006E0575" w:rsidTr="00A81EE7">
        <w:trPr>
          <w:tblHeader/>
        </w:trPr>
        <w:tc>
          <w:tcPr>
            <w:tcW w:w="15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627"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346"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376"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A81EE7">
        <w:tc>
          <w:tcPr>
            <w:tcW w:w="1501" w:type="dxa"/>
          </w:tcPr>
          <w:p w:rsidR="00891246" w:rsidRDefault="00891246" w:rsidP="00AD3A46">
            <w:pPr>
              <w:rPr>
                <w:sz w:val="20"/>
              </w:rPr>
            </w:pPr>
          </w:p>
          <w:p w:rsidR="00891246" w:rsidRDefault="00F5278E" w:rsidP="00AD3A46">
            <w:pPr>
              <w:rPr>
                <w:sz w:val="20"/>
              </w:rPr>
            </w:pPr>
            <w:r>
              <w:rPr>
                <w:sz w:val="20"/>
              </w:rPr>
              <w:t>200.</w:t>
            </w:r>
            <w:r w:rsidR="00AC5E34">
              <w:rPr>
                <w:sz w:val="20"/>
              </w:rPr>
              <w:t>8</w:t>
            </w:r>
            <w:r w:rsidR="00B9625B">
              <w:rPr>
                <w:sz w:val="20"/>
              </w:rPr>
              <w:t>000</w:t>
            </w:r>
            <w:r>
              <w:rPr>
                <w:sz w:val="20"/>
              </w:rPr>
              <w:t>.</w:t>
            </w:r>
            <w:r w:rsidR="00B9625B">
              <w:rPr>
                <w:sz w:val="20"/>
              </w:rPr>
              <w:t>010</w:t>
            </w:r>
          </w:p>
          <w:p w:rsidR="00561BD5" w:rsidRDefault="00561BD5" w:rsidP="00561BD5">
            <w:pPr>
              <w:rPr>
                <w:sz w:val="20"/>
              </w:rPr>
            </w:pPr>
            <w:r>
              <w:rPr>
                <w:sz w:val="20"/>
              </w:rPr>
              <w:t>2080 6080</w:t>
            </w:r>
          </w:p>
          <w:p w:rsidR="00AC5E34" w:rsidRDefault="00AC5E34" w:rsidP="00AD3A46">
            <w:pPr>
              <w:rPr>
                <w:sz w:val="20"/>
              </w:rPr>
            </w:pPr>
          </w:p>
          <w:p w:rsidR="00AC5E34" w:rsidRDefault="00AC5E34" w:rsidP="00AC5E34">
            <w:pPr>
              <w:rPr>
                <w:sz w:val="20"/>
              </w:rPr>
            </w:pPr>
            <w:r>
              <w:rPr>
                <w:sz w:val="20"/>
              </w:rPr>
              <w:t>200</w:t>
            </w:r>
            <w:r w:rsidR="00F5278E">
              <w:rPr>
                <w:sz w:val="20"/>
              </w:rPr>
              <w:t>.</w:t>
            </w:r>
            <w:r>
              <w:rPr>
                <w:sz w:val="20"/>
              </w:rPr>
              <w:t>8</w:t>
            </w:r>
            <w:r w:rsidR="00F5278E">
              <w:rPr>
                <w:sz w:val="20"/>
              </w:rPr>
              <w:t>000.</w:t>
            </w:r>
            <w:r w:rsidR="00F61C6E">
              <w:rPr>
                <w:sz w:val="20"/>
              </w:rPr>
              <w:t>05</w:t>
            </w:r>
            <w:r>
              <w:rPr>
                <w:sz w:val="20"/>
              </w:rPr>
              <w:t>0</w:t>
            </w:r>
          </w:p>
          <w:p w:rsidR="00561BD5" w:rsidRDefault="00607EC1" w:rsidP="00561BD5">
            <w:pPr>
              <w:rPr>
                <w:sz w:val="20"/>
              </w:rPr>
            </w:pPr>
            <w:r>
              <w:rPr>
                <w:sz w:val="20"/>
              </w:rPr>
              <w:t>20</w:t>
            </w:r>
            <w:r w:rsidR="00561BD5">
              <w:rPr>
                <w:sz w:val="20"/>
              </w:rPr>
              <w:t>80 6080</w:t>
            </w:r>
          </w:p>
          <w:p w:rsidR="00AC5E34" w:rsidRDefault="00AC5E34" w:rsidP="00AD3A46">
            <w:pPr>
              <w:rPr>
                <w:sz w:val="20"/>
              </w:rPr>
            </w:pPr>
          </w:p>
          <w:p w:rsidR="00AC5E34" w:rsidRDefault="00F5278E" w:rsidP="00AC5E34">
            <w:pPr>
              <w:rPr>
                <w:sz w:val="20"/>
              </w:rPr>
            </w:pPr>
            <w:r>
              <w:rPr>
                <w:sz w:val="20"/>
              </w:rPr>
              <w:t>200.</w:t>
            </w:r>
            <w:r w:rsidR="00AC5E34">
              <w:rPr>
                <w:sz w:val="20"/>
              </w:rPr>
              <w:t>8</w:t>
            </w:r>
            <w:r>
              <w:rPr>
                <w:sz w:val="20"/>
              </w:rPr>
              <w:t>000.</w:t>
            </w:r>
            <w:r w:rsidR="00AC5E34">
              <w:rPr>
                <w:sz w:val="20"/>
              </w:rPr>
              <w:t>1</w:t>
            </w:r>
            <w:r w:rsidR="00F61C6E">
              <w:rPr>
                <w:sz w:val="20"/>
              </w:rPr>
              <w:t>0</w:t>
            </w:r>
            <w:r w:rsidR="00AC5E34">
              <w:rPr>
                <w:sz w:val="20"/>
              </w:rPr>
              <w:t>0</w:t>
            </w:r>
          </w:p>
          <w:p w:rsidR="00561BD5" w:rsidRDefault="00607EC1" w:rsidP="00561BD5">
            <w:pPr>
              <w:rPr>
                <w:sz w:val="20"/>
              </w:rPr>
            </w:pPr>
            <w:r>
              <w:rPr>
                <w:sz w:val="20"/>
              </w:rPr>
              <w:t>20</w:t>
            </w:r>
            <w:r w:rsidR="00561BD5">
              <w:rPr>
                <w:sz w:val="20"/>
              </w:rPr>
              <w:t>80 6080</w:t>
            </w:r>
          </w:p>
          <w:p w:rsidR="00AC5E34" w:rsidRDefault="00AC5E34" w:rsidP="00AD3A46">
            <w:pPr>
              <w:rPr>
                <w:sz w:val="20"/>
              </w:rPr>
            </w:pPr>
          </w:p>
          <w:p w:rsidR="00AC5E34" w:rsidRDefault="00F5278E" w:rsidP="00AC5E34">
            <w:pPr>
              <w:rPr>
                <w:sz w:val="20"/>
              </w:rPr>
            </w:pPr>
            <w:r>
              <w:rPr>
                <w:sz w:val="20"/>
              </w:rPr>
              <w:t>200.</w:t>
            </w:r>
            <w:r w:rsidR="00AC5E34">
              <w:rPr>
                <w:sz w:val="20"/>
              </w:rPr>
              <w:t>8</w:t>
            </w:r>
            <w:r>
              <w:rPr>
                <w:sz w:val="20"/>
              </w:rPr>
              <w:t>000.</w:t>
            </w:r>
            <w:r w:rsidR="00F61C6E">
              <w:rPr>
                <w:sz w:val="20"/>
              </w:rPr>
              <w:t>1</w:t>
            </w:r>
            <w:r w:rsidR="00AC5E34">
              <w:rPr>
                <w:sz w:val="20"/>
              </w:rPr>
              <w:t>10</w:t>
            </w:r>
          </w:p>
          <w:p w:rsidR="00561BD5" w:rsidRDefault="00607EC1" w:rsidP="00561BD5">
            <w:pPr>
              <w:rPr>
                <w:sz w:val="20"/>
              </w:rPr>
            </w:pPr>
            <w:r>
              <w:rPr>
                <w:sz w:val="20"/>
              </w:rPr>
              <w:t>208</w:t>
            </w:r>
            <w:r w:rsidR="00561BD5">
              <w:rPr>
                <w:sz w:val="20"/>
              </w:rPr>
              <w:t>0 6080</w:t>
            </w:r>
          </w:p>
          <w:p w:rsidR="00AD1523" w:rsidRPr="006E0575" w:rsidRDefault="00AD1523" w:rsidP="00AD3A46">
            <w:pPr>
              <w:rPr>
                <w:sz w:val="20"/>
              </w:rPr>
            </w:pPr>
          </w:p>
        </w:tc>
        <w:tc>
          <w:tcPr>
            <w:tcW w:w="1627" w:type="dxa"/>
          </w:tcPr>
          <w:p w:rsidR="00891246" w:rsidRDefault="00891246" w:rsidP="00AD3A46">
            <w:pPr>
              <w:rPr>
                <w:sz w:val="20"/>
              </w:rPr>
            </w:pPr>
          </w:p>
          <w:p w:rsidR="00891246" w:rsidRPr="006E0575" w:rsidRDefault="00B9625B" w:rsidP="00AD3A46">
            <w:pPr>
              <w:rPr>
                <w:sz w:val="20"/>
              </w:rPr>
            </w:pPr>
            <w:r>
              <w:rPr>
                <w:sz w:val="20"/>
              </w:rPr>
              <w:t>Stadtkämmerei</w:t>
            </w:r>
          </w:p>
        </w:tc>
        <w:tc>
          <w:tcPr>
            <w:tcW w:w="851" w:type="dxa"/>
          </w:tcPr>
          <w:p w:rsidR="00891246" w:rsidRDefault="00891246" w:rsidP="00AD3A46">
            <w:pPr>
              <w:rPr>
                <w:sz w:val="20"/>
              </w:rPr>
            </w:pPr>
          </w:p>
          <w:p w:rsidR="00891246" w:rsidRDefault="00AC5E34" w:rsidP="00AC5E34">
            <w:pPr>
              <w:rPr>
                <w:sz w:val="20"/>
              </w:rPr>
            </w:pPr>
            <w:r>
              <w:rPr>
                <w:sz w:val="20"/>
              </w:rPr>
              <w:t>A 15</w:t>
            </w:r>
          </w:p>
          <w:p w:rsidR="00AC5E34" w:rsidRDefault="00AC5E34" w:rsidP="00AC5E34">
            <w:pPr>
              <w:rPr>
                <w:sz w:val="20"/>
              </w:rPr>
            </w:pPr>
          </w:p>
          <w:p w:rsidR="00AC5E34" w:rsidRDefault="00AC5E34" w:rsidP="00AC5E34">
            <w:pPr>
              <w:rPr>
                <w:sz w:val="20"/>
              </w:rPr>
            </w:pPr>
          </w:p>
          <w:p w:rsidR="00AC5E34" w:rsidRDefault="00AC5E34" w:rsidP="00AC5E34">
            <w:pPr>
              <w:rPr>
                <w:sz w:val="20"/>
              </w:rPr>
            </w:pPr>
            <w:r>
              <w:rPr>
                <w:sz w:val="20"/>
              </w:rPr>
              <w:t>A 13G</w:t>
            </w:r>
          </w:p>
          <w:p w:rsidR="00AC5E34" w:rsidRDefault="00AC5E34" w:rsidP="00AC5E34">
            <w:pPr>
              <w:rPr>
                <w:sz w:val="20"/>
              </w:rPr>
            </w:pPr>
          </w:p>
          <w:p w:rsidR="00AC5E34" w:rsidRDefault="00AC5E34" w:rsidP="00AC5E34">
            <w:pPr>
              <w:rPr>
                <w:sz w:val="20"/>
              </w:rPr>
            </w:pPr>
          </w:p>
          <w:p w:rsidR="00AC5E34" w:rsidRDefault="00AC5E34" w:rsidP="00AC5E34">
            <w:pPr>
              <w:rPr>
                <w:sz w:val="20"/>
              </w:rPr>
            </w:pPr>
            <w:r>
              <w:rPr>
                <w:sz w:val="20"/>
              </w:rPr>
              <w:t>A 12</w:t>
            </w:r>
          </w:p>
          <w:p w:rsidR="00AC5E34" w:rsidRDefault="00AC5E34" w:rsidP="00AC5E34">
            <w:pPr>
              <w:rPr>
                <w:sz w:val="20"/>
              </w:rPr>
            </w:pPr>
          </w:p>
          <w:p w:rsidR="00AC5E34" w:rsidRDefault="00AC5E34" w:rsidP="00AC5E34">
            <w:pPr>
              <w:rPr>
                <w:sz w:val="20"/>
              </w:rPr>
            </w:pPr>
          </w:p>
          <w:p w:rsidR="00AC5E34" w:rsidRDefault="00AC5E34" w:rsidP="00AC5E34">
            <w:pPr>
              <w:rPr>
                <w:sz w:val="20"/>
              </w:rPr>
            </w:pPr>
            <w:r>
              <w:rPr>
                <w:sz w:val="20"/>
              </w:rPr>
              <w:t>A 12</w:t>
            </w:r>
          </w:p>
          <w:p w:rsidR="00AC5E34" w:rsidRPr="006E0575" w:rsidRDefault="00AC5E34" w:rsidP="00AC5E34">
            <w:pPr>
              <w:rPr>
                <w:sz w:val="20"/>
              </w:rPr>
            </w:pPr>
          </w:p>
        </w:tc>
        <w:tc>
          <w:tcPr>
            <w:tcW w:w="1701" w:type="dxa"/>
          </w:tcPr>
          <w:p w:rsidR="00891246" w:rsidRDefault="00891246" w:rsidP="00AD3A46">
            <w:pPr>
              <w:rPr>
                <w:sz w:val="20"/>
              </w:rPr>
            </w:pPr>
          </w:p>
          <w:p w:rsidR="00891246" w:rsidRDefault="00AC5E34" w:rsidP="00AD3A46">
            <w:pPr>
              <w:rPr>
                <w:sz w:val="20"/>
              </w:rPr>
            </w:pPr>
            <w:r>
              <w:rPr>
                <w:sz w:val="20"/>
              </w:rPr>
              <w:t>Abteilungsleitung</w:t>
            </w:r>
          </w:p>
          <w:p w:rsidR="00AC5E34" w:rsidRDefault="00AC5E34" w:rsidP="00AD3A46">
            <w:pPr>
              <w:rPr>
                <w:sz w:val="20"/>
              </w:rPr>
            </w:pPr>
          </w:p>
          <w:p w:rsidR="00AC5E34" w:rsidRDefault="00AC5E34" w:rsidP="00AD3A46">
            <w:pPr>
              <w:rPr>
                <w:sz w:val="20"/>
              </w:rPr>
            </w:pPr>
          </w:p>
          <w:p w:rsidR="00AC5E34" w:rsidRDefault="00607EC1" w:rsidP="00AD3A46">
            <w:pPr>
              <w:rPr>
                <w:sz w:val="20"/>
              </w:rPr>
            </w:pPr>
            <w:r>
              <w:rPr>
                <w:sz w:val="20"/>
              </w:rPr>
              <w:t xml:space="preserve">Sachbearbeiter/ -in </w:t>
            </w:r>
          </w:p>
          <w:p w:rsidR="00AC5E34" w:rsidRDefault="00AC5E34" w:rsidP="00AD3A46">
            <w:pPr>
              <w:rPr>
                <w:sz w:val="20"/>
              </w:rPr>
            </w:pPr>
          </w:p>
          <w:p w:rsidR="00AC5E34" w:rsidRDefault="00607EC1" w:rsidP="00AD3A46">
            <w:pPr>
              <w:rPr>
                <w:sz w:val="20"/>
              </w:rPr>
            </w:pPr>
            <w:r>
              <w:rPr>
                <w:sz w:val="20"/>
              </w:rPr>
              <w:t xml:space="preserve">Sachbearbeiter/ -in </w:t>
            </w:r>
          </w:p>
          <w:p w:rsidR="00AC5E34" w:rsidRDefault="00AC5E34" w:rsidP="00AD3A46">
            <w:pPr>
              <w:rPr>
                <w:sz w:val="20"/>
              </w:rPr>
            </w:pPr>
          </w:p>
          <w:p w:rsidR="00AC5E34" w:rsidRPr="006E0575" w:rsidRDefault="00607EC1" w:rsidP="00AD3A46">
            <w:pPr>
              <w:rPr>
                <w:sz w:val="20"/>
              </w:rPr>
            </w:pPr>
            <w:r>
              <w:rPr>
                <w:sz w:val="20"/>
              </w:rPr>
              <w:t>Sachbearbeiter/ -in</w:t>
            </w:r>
          </w:p>
        </w:tc>
        <w:tc>
          <w:tcPr>
            <w:tcW w:w="851" w:type="dxa"/>
            <w:shd w:val="pct12" w:color="auto" w:fill="FFFFFF"/>
          </w:tcPr>
          <w:p w:rsidR="00891246" w:rsidRDefault="00891246" w:rsidP="00AD3A46">
            <w:pPr>
              <w:rPr>
                <w:sz w:val="20"/>
              </w:rPr>
            </w:pPr>
          </w:p>
          <w:p w:rsidR="00891246" w:rsidRDefault="00AC5E34" w:rsidP="00AD3A46">
            <w:pPr>
              <w:rPr>
                <w:sz w:val="20"/>
              </w:rPr>
            </w:pPr>
            <w:r>
              <w:rPr>
                <w:sz w:val="20"/>
              </w:rPr>
              <w:t>1,0</w:t>
            </w:r>
          </w:p>
          <w:p w:rsidR="00AC5E34" w:rsidRDefault="00AC5E34" w:rsidP="00AD3A46">
            <w:pPr>
              <w:rPr>
                <w:sz w:val="20"/>
              </w:rPr>
            </w:pPr>
          </w:p>
          <w:p w:rsidR="00AC5E34" w:rsidRDefault="00AC5E34" w:rsidP="00AD3A46">
            <w:pPr>
              <w:rPr>
                <w:sz w:val="20"/>
              </w:rPr>
            </w:pPr>
          </w:p>
          <w:p w:rsidR="00AC5E34" w:rsidRDefault="00AC5E34" w:rsidP="00AD3A46">
            <w:pPr>
              <w:rPr>
                <w:sz w:val="20"/>
              </w:rPr>
            </w:pPr>
            <w:r>
              <w:rPr>
                <w:sz w:val="20"/>
              </w:rPr>
              <w:t>1,0</w:t>
            </w:r>
          </w:p>
          <w:p w:rsidR="00AC5E34" w:rsidRDefault="00AC5E34" w:rsidP="00AD3A46">
            <w:pPr>
              <w:rPr>
                <w:sz w:val="20"/>
              </w:rPr>
            </w:pPr>
          </w:p>
          <w:p w:rsidR="00AC5E34" w:rsidRDefault="00AC5E34" w:rsidP="00AD3A46">
            <w:pPr>
              <w:rPr>
                <w:sz w:val="20"/>
              </w:rPr>
            </w:pPr>
          </w:p>
          <w:p w:rsidR="00AC5E34" w:rsidRDefault="00AC5E34" w:rsidP="00AD3A46">
            <w:pPr>
              <w:rPr>
                <w:sz w:val="20"/>
              </w:rPr>
            </w:pPr>
            <w:r>
              <w:rPr>
                <w:sz w:val="20"/>
              </w:rPr>
              <w:t>1,0</w:t>
            </w:r>
          </w:p>
          <w:p w:rsidR="00AC5E34" w:rsidRDefault="00AC5E34" w:rsidP="00AD3A46">
            <w:pPr>
              <w:rPr>
                <w:sz w:val="20"/>
              </w:rPr>
            </w:pPr>
          </w:p>
          <w:p w:rsidR="00AC5E34" w:rsidRDefault="00AC5E34" w:rsidP="00AD3A46">
            <w:pPr>
              <w:rPr>
                <w:sz w:val="20"/>
              </w:rPr>
            </w:pPr>
          </w:p>
          <w:p w:rsidR="00AC5E34" w:rsidRPr="006E0575" w:rsidRDefault="00AC5E34" w:rsidP="00AD3A46">
            <w:pPr>
              <w:rPr>
                <w:sz w:val="20"/>
              </w:rPr>
            </w:pPr>
            <w:r>
              <w:rPr>
                <w:sz w:val="20"/>
              </w:rPr>
              <w:t>0,5</w:t>
            </w:r>
          </w:p>
        </w:tc>
        <w:tc>
          <w:tcPr>
            <w:tcW w:w="1346" w:type="dxa"/>
          </w:tcPr>
          <w:p w:rsidR="00891246" w:rsidRDefault="00891246" w:rsidP="00AD3A46">
            <w:pPr>
              <w:rPr>
                <w:sz w:val="20"/>
              </w:rPr>
            </w:pPr>
          </w:p>
          <w:p w:rsidR="00891246" w:rsidRDefault="00AC5E34" w:rsidP="00AD3A46">
            <w:pPr>
              <w:rPr>
                <w:sz w:val="20"/>
              </w:rPr>
            </w:pPr>
            <w:r>
              <w:rPr>
                <w:sz w:val="20"/>
              </w:rPr>
              <w:t>KW 01/2024</w:t>
            </w:r>
          </w:p>
          <w:p w:rsidR="00AC5E34" w:rsidRDefault="00AC5E34" w:rsidP="00AD3A46">
            <w:pPr>
              <w:rPr>
                <w:sz w:val="20"/>
              </w:rPr>
            </w:pPr>
          </w:p>
          <w:p w:rsidR="00F61C6E" w:rsidRDefault="00F61C6E" w:rsidP="00AD3A46">
            <w:pPr>
              <w:rPr>
                <w:sz w:val="20"/>
              </w:rPr>
            </w:pPr>
          </w:p>
          <w:p w:rsidR="00AC5E34" w:rsidRDefault="00AC5E34" w:rsidP="00AD3A46">
            <w:pPr>
              <w:rPr>
                <w:sz w:val="20"/>
              </w:rPr>
            </w:pPr>
            <w:r>
              <w:rPr>
                <w:sz w:val="20"/>
              </w:rPr>
              <w:t>KW 01/2024</w:t>
            </w:r>
          </w:p>
          <w:p w:rsidR="00AC5E34" w:rsidRDefault="00AC5E34" w:rsidP="00AD3A46">
            <w:pPr>
              <w:rPr>
                <w:sz w:val="20"/>
              </w:rPr>
            </w:pPr>
          </w:p>
          <w:p w:rsidR="00F61C6E" w:rsidRDefault="00F61C6E" w:rsidP="00AD3A46">
            <w:pPr>
              <w:rPr>
                <w:sz w:val="20"/>
              </w:rPr>
            </w:pPr>
          </w:p>
          <w:p w:rsidR="00AC5E34" w:rsidRDefault="00AC5E34" w:rsidP="00AD3A46">
            <w:pPr>
              <w:rPr>
                <w:sz w:val="20"/>
              </w:rPr>
            </w:pPr>
            <w:r>
              <w:rPr>
                <w:sz w:val="20"/>
              </w:rPr>
              <w:t>KW 01/2024</w:t>
            </w:r>
          </w:p>
          <w:p w:rsidR="00AC5E34" w:rsidRDefault="00AC5E34" w:rsidP="00AD3A46">
            <w:pPr>
              <w:rPr>
                <w:sz w:val="20"/>
              </w:rPr>
            </w:pPr>
          </w:p>
          <w:p w:rsidR="00F61C6E" w:rsidRDefault="00F61C6E" w:rsidP="00AD3A46">
            <w:pPr>
              <w:rPr>
                <w:sz w:val="20"/>
              </w:rPr>
            </w:pPr>
          </w:p>
          <w:p w:rsidR="00AC5E34" w:rsidRPr="006E0575" w:rsidRDefault="00AC5E34" w:rsidP="00AD3A46">
            <w:pPr>
              <w:rPr>
                <w:sz w:val="20"/>
              </w:rPr>
            </w:pPr>
            <w:r>
              <w:rPr>
                <w:sz w:val="20"/>
              </w:rPr>
              <w:t>KW 01/2024</w:t>
            </w:r>
          </w:p>
        </w:tc>
        <w:tc>
          <w:tcPr>
            <w:tcW w:w="1376" w:type="dxa"/>
          </w:tcPr>
          <w:p w:rsidR="008D6FA8" w:rsidRPr="006E0575" w:rsidRDefault="008D6FA8" w:rsidP="00607EC1">
            <w:pPr>
              <w:rPr>
                <w:sz w:val="20"/>
              </w:rPr>
            </w:pPr>
          </w:p>
        </w:tc>
      </w:tr>
    </w:tbl>
    <w:p w:rsidR="00AC5E34" w:rsidRPr="00AC5E34" w:rsidRDefault="00D6295A" w:rsidP="00AC5E34">
      <w:pPr>
        <w:pStyle w:val="berschrift1"/>
        <w:keepNext/>
        <w:tabs>
          <w:tab w:val="clear" w:pos="6521"/>
        </w:tabs>
        <w:spacing w:before="480"/>
        <w:ind w:left="284" w:hanging="284"/>
        <w:jc w:val="left"/>
        <w:rPr>
          <w:sz w:val="24"/>
        </w:rPr>
      </w:pPr>
      <w:r>
        <w:rPr>
          <w:sz w:val="24"/>
        </w:rPr>
        <w:t>Begründung</w:t>
      </w:r>
      <w:bookmarkStart w:id="0" w:name="_GoBack"/>
      <w:bookmarkEnd w:id="0"/>
    </w:p>
    <w:p w:rsidR="00AC5E34" w:rsidRDefault="00AC5E34" w:rsidP="00AC5E34">
      <w:pPr>
        <w:pStyle w:val="berschrift2"/>
      </w:pPr>
    </w:p>
    <w:p w:rsidR="00AC5E34" w:rsidRDefault="00AC5E34" w:rsidP="00AC5E34">
      <w:r>
        <w:t xml:space="preserve">Entsprechend der GRDrs. 706/2023 wird </w:t>
      </w:r>
      <w:r w:rsidR="00D6295A">
        <w:t>dem Wegfall von KW-Vermerken</w:t>
      </w:r>
      <w:r>
        <w:t xml:space="preserve"> </w:t>
      </w:r>
      <w:r w:rsidR="00D6295A">
        <w:t>an</w:t>
      </w:r>
      <w:r>
        <w:t xml:space="preserve"> o.</w:t>
      </w:r>
      <w:r w:rsidR="00607EC1">
        <w:t xml:space="preserve"> </w:t>
      </w:r>
      <w:r>
        <w:t>g. Stellen für die</w:t>
      </w:r>
      <w:r w:rsidR="00F61C6E">
        <w:t xml:space="preserve"> Abteilung Tax Management (20-8) bei der Stadtkämmerei z</w:t>
      </w:r>
      <w:r>
        <w:t>ugestimmt.</w:t>
      </w:r>
    </w:p>
    <w:p w:rsidR="00AC5E34" w:rsidRDefault="00AC5E34" w:rsidP="00AC5E34">
      <w:r>
        <w:t>Auf die ausführliche Begründung in der v.</w:t>
      </w:r>
      <w:r w:rsidR="00607EC1">
        <w:t xml:space="preserve"> </w:t>
      </w:r>
      <w:r>
        <w:t>g. GRDrs. wird Bezug genommen.</w:t>
      </w:r>
    </w:p>
    <w:p w:rsidR="00AC5E34" w:rsidRDefault="00AC5E34" w:rsidP="00AC5E34"/>
    <w:p w:rsidR="009D550B" w:rsidRDefault="00607EC1" w:rsidP="009D550B">
      <w:pPr>
        <w:spacing w:line="276" w:lineRule="auto"/>
        <w:jc w:val="both"/>
        <w:outlineLvl w:val="0"/>
        <w:rPr>
          <w:rFonts w:cs="Arial"/>
        </w:rPr>
      </w:pPr>
      <w:r>
        <w:rPr>
          <w:rFonts w:eastAsiaTheme="minorHAnsi" w:cs="Arial"/>
          <w:kern w:val="12"/>
          <w:lang w:eastAsia="en-US"/>
        </w:rPr>
        <w:t xml:space="preserve">Die Landeshauptstadt Stuttgart </w:t>
      </w:r>
      <w:r w:rsidR="00AC5E34" w:rsidRPr="00BA7F5A">
        <w:rPr>
          <w:rFonts w:eastAsiaTheme="minorHAnsi" w:cs="Arial"/>
          <w:kern w:val="12"/>
          <w:lang w:eastAsia="en-US"/>
        </w:rPr>
        <w:t>als Körperschaft des öffentlichen Rechts unterliegt mit zahlreichen Tätigkeiten verschiedenen steuerlichen Verpflichtungen</w:t>
      </w:r>
      <w:r w:rsidR="00AC5E34"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r w:rsidR="009D550B">
        <w:rPr>
          <w:rFonts w:cs="Arial"/>
        </w:rPr>
        <w:t xml:space="preserve"> </w:t>
      </w:r>
    </w:p>
    <w:p w:rsidR="009D550B" w:rsidRDefault="009D550B" w:rsidP="009D550B">
      <w:pPr>
        <w:spacing w:line="276" w:lineRule="auto"/>
        <w:jc w:val="both"/>
        <w:outlineLvl w:val="0"/>
        <w:rPr>
          <w:rFonts w:cs="Arial"/>
        </w:rPr>
      </w:pPr>
    </w:p>
    <w:p w:rsidR="00AC5E34" w:rsidRPr="00BA7F5A" w:rsidRDefault="00AC5E34" w:rsidP="009D550B">
      <w:pPr>
        <w:spacing w:line="276" w:lineRule="auto"/>
        <w:jc w:val="both"/>
        <w:outlineLvl w:val="0"/>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sectPr w:rsidR="00AC5E34" w:rsidRPr="00BA7F5A"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BC4" w:rsidRDefault="00F84BC4">
      <w:r>
        <w:separator/>
      </w:r>
    </w:p>
  </w:endnote>
  <w:endnote w:type="continuationSeparator" w:id="0">
    <w:p w:rsidR="00F84BC4" w:rsidRDefault="00F8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BC4" w:rsidRDefault="00F84BC4">
      <w:r>
        <w:separator/>
      </w:r>
    </w:p>
  </w:footnote>
  <w:footnote w:type="continuationSeparator" w:id="0">
    <w:p w:rsidR="00F84BC4" w:rsidRDefault="00F84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D6295A">
      <w:rPr>
        <w:rStyle w:val="Seitenzahl"/>
        <w:noProof/>
      </w:rPr>
      <w:t>1</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C4"/>
    <w:rsid w:val="000A1146"/>
    <w:rsid w:val="001058DD"/>
    <w:rsid w:val="00165C0D"/>
    <w:rsid w:val="00181857"/>
    <w:rsid w:val="001865B4"/>
    <w:rsid w:val="00187C98"/>
    <w:rsid w:val="001F5D9F"/>
    <w:rsid w:val="002010A4"/>
    <w:rsid w:val="002058C2"/>
    <w:rsid w:val="00213C7A"/>
    <w:rsid w:val="002812E4"/>
    <w:rsid w:val="002924CB"/>
    <w:rsid w:val="002A664A"/>
    <w:rsid w:val="002B2235"/>
    <w:rsid w:val="002B6783"/>
    <w:rsid w:val="002C2BCF"/>
    <w:rsid w:val="003237BB"/>
    <w:rsid w:val="00361333"/>
    <w:rsid w:val="003A7A41"/>
    <w:rsid w:val="003D5196"/>
    <w:rsid w:val="003D7B0B"/>
    <w:rsid w:val="003F20FE"/>
    <w:rsid w:val="00406723"/>
    <w:rsid w:val="004920E9"/>
    <w:rsid w:val="004B6796"/>
    <w:rsid w:val="004D7F89"/>
    <w:rsid w:val="00537E08"/>
    <w:rsid w:val="00561BD5"/>
    <w:rsid w:val="005778E9"/>
    <w:rsid w:val="0059779E"/>
    <w:rsid w:val="005A4383"/>
    <w:rsid w:val="005E7511"/>
    <w:rsid w:val="005E7A74"/>
    <w:rsid w:val="0060281A"/>
    <w:rsid w:val="00607EC1"/>
    <w:rsid w:val="00694161"/>
    <w:rsid w:val="006B7B06"/>
    <w:rsid w:val="006C1AC2"/>
    <w:rsid w:val="006E0575"/>
    <w:rsid w:val="00701699"/>
    <w:rsid w:val="00746A71"/>
    <w:rsid w:val="00767369"/>
    <w:rsid w:val="00796600"/>
    <w:rsid w:val="007B5FE2"/>
    <w:rsid w:val="00826558"/>
    <w:rsid w:val="0083052F"/>
    <w:rsid w:val="00840569"/>
    <w:rsid w:val="00884D6C"/>
    <w:rsid w:val="00891246"/>
    <w:rsid w:val="00893E55"/>
    <w:rsid w:val="008A1899"/>
    <w:rsid w:val="008D6FA8"/>
    <w:rsid w:val="00923B6D"/>
    <w:rsid w:val="00984AC4"/>
    <w:rsid w:val="00995EBD"/>
    <w:rsid w:val="009B0FBE"/>
    <w:rsid w:val="009D550B"/>
    <w:rsid w:val="00A01DFE"/>
    <w:rsid w:val="00A148B2"/>
    <w:rsid w:val="00A206E5"/>
    <w:rsid w:val="00A34898"/>
    <w:rsid w:val="00A469DC"/>
    <w:rsid w:val="00A67B47"/>
    <w:rsid w:val="00A721D3"/>
    <w:rsid w:val="00A77F1E"/>
    <w:rsid w:val="00A81EE7"/>
    <w:rsid w:val="00A8778F"/>
    <w:rsid w:val="00AB0D1F"/>
    <w:rsid w:val="00AC5E34"/>
    <w:rsid w:val="00AD1523"/>
    <w:rsid w:val="00AD3A46"/>
    <w:rsid w:val="00AF120D"/>
    <w:rsid w:val="00B04290"/>
    <w:rsid w:val="00B238D8"/>
    <w:rsid w:val="00B52C7C"/>
    <w:rsid w:val="00B80DEF"/>
    <w:rsid w:val="00B8234C"/>
    <w:rsid w:val="00B9625B"/>
    <w:rsid w:val="00C42332"/>
    <w:rsid w:val="00C448D3"/>
    <w:rsid w:val="00C831E5"/>
    <w:rsid w:val="00CD0B27"/>
    <w:rsid w:val="00CE7D5B"/>
    <w:rsid w:val="00D15184"/>
    <w:rsid w:val="00D24277"/>
    <w:rsid w:val="00D544BF"/>
    <w:rsid w:val="00D60BEF"/>
    <w:rsid w:val="00D61383"/>
    <w:rsid w:val="00D6295A"/>
    <w:rsid w:val="00DA24CD"/>
    <w:rsid w:val="00DA701E"/>
    <w:rsid w:val="00DB315E"/>
    <w:rsid w:val="00DE32BA"/>
    <w:rsid w:val="00DF268B"/>
    <w:rsid w:val="00DF3470"/>
    <w:rsid w:val="00E1162F"/>
    <w:rsid w:val="00E11D5F"/>
    <w:rsid w:val="00E24307"/>
    <w:rsid w:val="00E248AF"/>
    <w:rsid w:val="00E37194"/>
    <w:rsid w:val="00E602B6"/>
    <w:rsid w:val="00E917F3"/>
    <w:rsid w:val="00EB1FB5"/>
    <w:rsid w:val="00F00C79"/>
    <w:rsid w:val="00F132FA"/>
    <w:rsid w:val="00F27657"/>
    <w:rsid w:val="00F27BB8"/>
    <w:rsid w:val="00F5278E"/>
    <w:rsid w:val="00F61C6E"/>
    <w:rsid w:val="00F71907"/>
    <w:rsid w:val="00F84BC4"/>
    <w:rsid w:val="00FB7258"/>
    <w:rsid w:val="00FE152F"/>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9C230"/>
  <w15:docId w15:val="{6716E348-761B-4419-B7D1-0D858A8D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187C98"/>
    <w:rPr>
      <w:rFonts w:ascii="Segoe UI" w:hAnsi="Segoe UI" w:cs="Segoe UI"/>
      <w:sz w:val="18"/>
      <w:szCs w:val="18"/>
    </w:rPr>
  </w:style>
  <w:style w:type="character" w:customStyle="1" w:styleId="SprechblasentextZchn">
    <w:name w:val="Sprechblasentext Zchn"/>
    <w:basedOn w:val="Absatz-Standardschriftart"/>
    <w:link w:val="Sprechblasentext"/>
    <w:semiHidden/>
    <w:rsid w:val="00187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3188">
      <w:bodyDiv w:val="1"/>
      <w:marLeft w:val="0"/>
      <w:marRight w:val="0"/>
      <w:marTop w:val="0"/>
      <w:marBottom w:val="0"/>
      <w:divBdr>
        <w:top w:val="none" w:sz="0" w:space="0" w:color="auto"/>
        <w:left w:val="none" w:sz="0" w:space="0" w:color="auto"/>
        <w:bottom w:val="none" w:sz="0" w:space="0" w:color="auto"/>
        <w:right w:val="none" w:sz="0" w:space="0" w:color="auto"/>
      </w:divBdr>
    </w:div>
    <w:div w:id="1497110056">
      <w:bodyDiv w:val="1"/>
      <w:marLeft w:val="0"/>
      <w:marRight w:val="0"/>
      <w:marTop w:val="0"/>
      <w:marBottom w:val="0"/>
      <w:divBdr>
        <w:top w:val="none" w:sz="0" w:space="0" w:color="auto"/>
        <w:left w:val="none" w:sz="0" w:space="0" w:color="auto"/>
        <w:bottom w:val="none" w:sz="0" w:space="0" w:color="auto"/>
        <w:right w:val="none" w:sz="0" w:space="0" w:color="auto"/>
      </w:divBdr>
    </w:div>
    <w:div w:id="1531600419">
      <w:bodyDiv w:val="1"/>
      <w:marLeft w:val="0"/>
      <w:marRight w:val="0"/>
      <w:marTop w:val="0"/>
      <w:marBottom w:val="0"/>
      <w:divBdr>
        <w:top w:val="none" w:sz="0" w:space="0" w:color="auto"/>
        <w:left w:val="none" w:sz="0" w:space="0" w:color="auto"/>
        <w:bottom w:val="none" w:sz="0" w:space="0" w:color="auto"/>
        <w:right w:val="none" w:sz="0" w:space="0" w:color="auto"/>
      </w:divBdr>
    </w:div>
    <w:div w:id="17148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1004\AppData\Local\Temp\notes65C8F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3F3F2-6214-4B19-8786-AF6653F4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1</Pages>
  <Words>209</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Benzenhöfer, Cornelia</dc:creator>
  <dc:description/>
  <cp:lastModifiedBy>Baumann, Gerhard</cp:lastModifiedBy>
  <cp:revision>21</cp:revision>
  <cp:lastPrinted>2023-10-06T05:58:00Z</cp:lastPrinted>
  <dcterms:created xsi:type="dcterms:W3CDTF">2023-05-02T14:58:00Z</dcterms:created>
  <dcterms:modified xsi:type="dcterms:W3CDTF">2023-10-06T05:58:00Z</dcterms:modified>
</cp:coreProperties>
</file>