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0349F8" w:rsidRDefault="003D7B0B" w:rsidP="006E0575">
      <w:pPr>
        <w:tabs>
          <w:tab w:val="left" w:pos="5812"/>
        </w:tabs>
        <w:jc w:val="right"/>
        <w:rPr>
          <w:szCs w:val="24"/>
        </w:rPr>
      </w:pPr>
      <w:r w:rsidRPr="000349F8">
        <w:rPr>
          <w:szCs w:val="24"/>
        </w:rPr>
        <w:t xml:space="preserve">Anlage </w:t>
      </w:r>
      <w:r w:rsidR="00260B01">
        <w:rPr>
          <w:szCs w:val="24"/>
        </w:rPr>
        <w:t>17</w:t>
      </w:r>
      <w:r w:rsidRPr="000349F8">
        <w:rPr>
          <w:szCs w:val="24"/>
        </w:rPr>
        <w:t xml:space="preserve"> zur GRDrs</w:t>
      </w:r>
      <w:r w:rsidR="006A0536">
        <w:rPr>
          <w:szCs w:val="24"/>
        </w:rPr>
        <w:t>.</w:t>
      </w:r>
      <w:r w:rsidRPr="000349F8">
        <w:rPr>
          <w:szCs w:val="24"/>
        </w:rPr>
        <w:t xml:space="preserve"> </w:t>
      </w:r>
      <w:r w:rsidR="00E676BE" w:rsidRPr="000349F8">
        <w:rPr>
          <w:szCs w:val="24"/>
        </w:rPr>
        <w:t>904</w:t>
      </w:r>
      <w:r w:rsidR="008C4AD8" w:rsidRPr="000349F8">
        <w:rPr>
          <w:szCs w:val="24"/>
        </w:rPr>
        <w:t>/2020</w:t>
      </w:r>
    </w:p>
    <w:p w:rsidR="003D7B0B" w:rsidRPr="000349F8" w:rsidRDefault="003D7B0B" w:rsidP="006E0575"/>
    <w:p w:rsidR="003D7B0B" w:rsidRPr="000349F8" w:rsidRDefault="003D7B0B" w:rsidP="006E0575"/>
    <w:p w:rsidR="00184EDC" w:rsidRPr="000349F8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0349F8">
        <w:rPr>
          <w:b/>
          <w:sz w:val="36"/>
          <w:u w:val="single"/>
        </w:rPr>
        <w:t>Stellenschaffung</w:t>
      </w:r>
    </w:p>
    <w:p w:rsidR="003D7B0B" w:rsidRPr="000349F8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0349F8">
        <w:rPr>
          <w:b/>
          <w:sz w:val="36"/>
          <w:u w:val="single"/>
        </w:rPr>
        <w:t xml:space="preserve">im Vorgriff auf den </w:t>
      </w:r>
      <w:r w:rsidR="00184EDC" w:rsidRPr="000349F8">
        <w:rPr>
          <w:b/>
          <w:sz w:val="36"/>
          <w:u w:val="single"/>
        </w:rPr>
        <w:t>Stellenplan 20</w:t>
      </w:r>
      <w:r w:rsidR="008C4AD8" w:rsidRPr="000349F8">
        <w:rPr>
          <w:b/>
          <w:sz w:val="36"/>
          <w:u w:val="single"/>
        </w:rPr>
        <w:t>22</w:t>
      </w:r>
    </w:p>
    <w:p w:rsidR="003D7B0B" w:rsidRPr="000349F8" w:rsidRDefault="003D7B0B" w:rsidP="006E0575"/>
    <w:p w:rsidR="00B10E22" w:rsidRPr="000349F8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0349F8" w:rsidRPr="000349F8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0349F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Org.-Einheit</w:t>
            </w:r>
            <w:r w:rsidR="005F5B3D" w:rsidRPr="000349F8">
              <w:rPr>
                <w:sz w:val="16"/>
                <w:szCs w:val="16"/>
              </w:rPr>
              <w:br/>
            </w:r>
            <w:r w:rsidR="005F5B3D" w:rsidRPr="000349F8">
              <w:rPr>
                <w:sz w:val="16"/>
                <w:szCs w:val="16"/>
              </w:rPr>
              <w:br/>
            </w: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0349F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Pr="000349F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606F80" w:rsidRPr="000349F8">
              <w:rPr>
                <w:sz w:val="16"/>
                <w:szCs w:val="16"/>
              </w:rPr>
              <w:t>BesGr.</w:t>
            </w:r>
          </w:p>
          <w:p w:rsidR="00606F80" w:rsidRPr="000349F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606F80" w:rsidRPr="000349F8">
              <w:rPr>
                <w:sz w:val="16"/>
                <w:szCs w:val="16"/>
              </w:rPr>
              <w:t>oder</w:t>
            </w:r>
          </w:p>
          <w:p w:rsidR="00606F80" w:rsidRPr="000349F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606F80" w:rsidRPr="000349F8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0349F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0349F8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Anzahl</w:t>
            </w:r>
            <w:r w:rsidR="005F5B3D" w:rsidRPr="000349F8">
              <w:rPr>
                <w:sz w:val="16"/>
                <w:szCs w:val="16"/>
              </w:rPr>
              <w:br/>
            </w: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der</w:t>
            </w:r>
            <w:r w:rsidR="005F5B3D" w:rsidRPr="000349F8">
              <w:rPr>
                <w:sz w:val="16"/>
                <w:szCs w:val="16"/>
              </w:rPr>
              <w:br/>
            </w: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0349F8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Stellen-</w:t>
            </w:r>
            <w:r w:rsidR="005F5B3D" w:rsidRPr="000349F8">
              <w:rPr>
                <w:sz w:val="16"/>
                <w:szCs w:val="16"/>
              </w:rPr>
              <w:br/>
            </w: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0349F8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durchschnittl.</w:t>
            </w:r>
            <w:r w:rsidR="008A6853" w:rsidRPr="000349F8">
              <w:rPr>
                <w:sz w:val="16"/>
                <w:szCs w:val="16"/>
              </w:rPr>
              <w:t xml:space="preserve"> jährl.</w:t>
            </w:r>
            <w:r w:rsidRPr="000349F8">
              <w:rPr>
                <w:sz w:val="16"/>
                <w:szCs w:val="16"/>
              </w:rPr>
              <w:br/>
              <w:t xml:space="preserve"> </w:t>
            </w:r>
            <w:r w:rsidR="008A6853" w:rsidRPr="000349F8">
              <w:rPr>
                <w:sz w:val="16"/>
                <w:szCs w:val="16"/>
              </w:rPr>
              <w:t>kosten</w:t>
            </w:r>
            <w:r w:rsidR="005F5B3D" w:rsidRPr="000349F8">
              <w:rPr>
                <w:sz w:val="16"/>
                <w:szCs w:val="16"/>
              </w:rPr>
              <w:t>wirksamer</w:t>
            </w:r>
            <w:r w:rsidR="005F5B3D" w:rsidRPr="000349F8">
              <w:rPr>
                <w:sz w:val="16"/>
                <w:szCs w:val="16"/>
              </w:rPr>
              <w:br/>
            </w:r>
            <w:r w:rsidRPr="000349F8">
              <w:rPr>
                <w:sz w:val="16"/>
                <w:szCs w:val="16"/>
              </w:rPr>
              <w:t xml:space="preserve"> </w:t>
            </w:r>
            <w:r w:rsidR="005F5B3D" w:rsidRPr="000349F8">
              <w:rPr>
                <w:sz w:val="16"/>
                <w:szCs w:val="16"/>
              </w:rPr>
              <w:t>Aufwand</w:t>
            </w:r>
            <w:r w:rsidR="008A6853" w:rsidRPr="000349F8">
              <w:rPr>
                <w:sz w:val="16"/>
                <w:szCs w:val="16"/>
              </w:rPr>
              <w:t xml:space="preserve"> in €</w:t>
            </w:r>
          </w:p>
        </w:tc>
      </w:tr>
      <w:tr w:rsidR="000349F8" w:rsidRPr="000349F8" w:rsidTr="005F5B3D">
        <w:tc>
          <w:tcPr>
            <w:tcW w:w="1814" w:type="dxa"/>
          </w:tcPr>
          <w:p w:rsidR="000349F8" w:rsidRPr="000349F8" w:rsidRDefault="000349F8" w:rsidP="006E0575">
            <w:pPr>
              <w:rPr>
                <w:sz w:val="20"/>
              </w:rPr>
            </w:pPr>
          </w:p>
          <w:p w:rsidR="00DF28DA" w:rsidRPr="000349F8" w:rsidRDefault="00DF28DA" w:rsidP="006E0575">
            <w:pPr>
              <w:rPr>
                <w:sz w:val="20"/>
              </w:rPr>
            </w:pPr>
            <w:r w:rsidRPr="000349F8">
              <w:rPr>
                <w:sz w:val="20"/>
              </w:rPr>
              <w:t>41-</w:t>
            </w:r>
            <w:r w:rsidR="00476FAF" w:rsidRPr="000349F8">
              <w:rPr>
                <w:sz w:val="20"/>
              </w:rPr>
              <w:t>7</w:t>
            </w:r>
          </w:p>
          <w:p w:rsidR="00DF28DA" w:rsidRPr="000349F8" w:rsidRDefault="00476FAF" w:rsidP="006E0575">
            <w:pPr>
              <w:rPr>
                <w:sz w:val="20"/>
              </w:rPr>
            </w:pPr>
            <w:r w:rsidRPr="000349F8">
              <w:rPr>
                <w:sz w:val="20"/>
              </w:rPr>
              <w:t>4170</w:t>
            </w:r>
            <w:r w:rsidR="0088696E" w:rsidRPr="000349F8">
              <w:rPr>
                <w:sz w:val="20"/>
              </w:rPr>
              <w:t xml:space="preserve"> </w:t>
            </w:r>
            <w:r w:rsidRPr="000349F8">
              <w:rPr>
                <w:sz w:val="20"/>
              </w:rPr>
              <w:t>6190</w:t>
            </w:r>
          </w:p>
          <w:p w:rsidR="000349F8" w:rsidRPr="000349F8" w:rsidRDefault="000349F8" w:rsidP="006E0575">
            <w:pPr>
              <w:rPr>
                <w:sz w:val="20"/>
              </w:rPr>
            </w:pPr>
          </w:p>
          <w:p w:rsidR="005F4BFF" w:rsidRPr="000349F8" w:rsidRDefault="005F4BFF" w:rsidP="006E0575">
            <w:pPr>
              <w:rPr>
                <w:sz w:val="20"/>
              </w:rPr>
            </w:pPr>
            <w:r w:rsidRPr="000349F8">
              <w:rPr>
                <w:sz w:val="20"/>
              </w:rPr>
              <w:t>41-1</w:t>
            </w:r>
          </w:p>
          <w:p w:rsidR="005F4BFF" w:rsidRPr="000349F8" w:rsidRDefault="005F4BFF" w:rsidP="006E0575">
            <w:pPr>
              <w:rPr>
                <w:sz w:val="20"/>
              </w:rPr>
            </w:pPr>
            <w:r w:rsidRPr="000349F8">
              <w:rPr>
                <w:sz w:val="20"/>
              </w:rPr>
              <w:t>4110</w:t>
            </w:r>
            <w:r w:rsidR="008B31D9">
              <w:rPr>
                <w:sz w:val="20"/>
              </w:rPr>
              <w:t xml:space="preserve"> </w:t>
            </w:r>
            <w:r w:rsidRPr="000349F8">
              <w:rPr>
                <w:sz w:val="20"/>
              </w:rPr>
              <w:t>1010</w:t>
            </w:r>
          </w:p>
          <w:p w:rsidR="00A03582" w:rsidRPr="000349F8" w:rsidRDefault="00A03582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0349F8" w:rsidRDefault="005F5B3D" w:rsidP="006E0575">
            <w:pPr>
              <w:rPr>
                <w:sz w:val="20"/>
              </w:rPr>
            </w:pPr>
          </w:p>
          <w:p w:rsidR="00A03582" w:rsidRPr="000349F8" w:rsidRDefault="00DF28DA" w:rsidP="006E0575">
            <w:pPr>
              <w:rPr>
                <w:sz w:val="20"/>
              </w:rPr>
            </w:pPr>
            <w:r w:rsidRPr="000349F8">
              <w:rPr>
                <w:sz w:val="20"/>
              </w:rPr>
              <w:t xml:space="preserve">Kulturamt </w:t>
            </w:r>
          </w:p>
        </w:tc>
        <w:tc>
          <w:tcPr>
            <w:tcW w:w="794" w:type="dxa"/>
          </w:tcPr>
          <w:p w:rsidR="005F5B3D" w:rsidRPr="000349F8" w:rsidRDefault="005F5B3D" w:rsidP="008A6853">
            <w:pPr>
              <w:rPr>
                <w:sz w:val="20"/>
              </w:rPr>
            </w:pPr>
          </w:p>
          <w:p w:rsidR="00A03582" w:rsidRPr="000349F8" w:rsidRDefault="00DF28DA" w:rsidP="008A6853">
            <w:pPr>
              <w:rPr>
                <w:sz w:val="20"/>
              </w:rPr>
            </w:pPr>
            <w:r w:rsidRPr="000349F8">
              <w:rPr>
                <w:sz w:val="20"/>
              </w:rPr>
              <w:t>EG 13</w:t>
            </w:r>
          </w:p>
          <w:p w:rsidR="000349F8" w:rsidRPr="000349F8" w:rsidRDefault="000349F8" w:rsidP="008A6853">
            <w:pPr>
              <w:rPr>
                <w:sz w:val="20"/>
              </w:rPr>
            </w:pPr>
          </w:p>
          <w:p w:rsidR="000349F8" w:rsidRPr="000349F8" w:rsidRDefault="000349F8" w:rsidP="008A6853">
            <w:pPr>
              <w:rPr>
                <w:sz w:val="20"/>
              </w:rPr>
            </w:pPr>
          </w:p>
          <w:p w:rsidR="000349F8" w:rsidRPr="000349F8" w:rsidRDefault="000349F8" w:rsidP="008A6853">
            <w:pPr>
              <w:rPr>
                <w:sz w:val="20"/>
              </w:rPr>
            </w:pPr>
            <w:r w:rsidRPr="000349F8">
              <w:rPr>
                <w:sz w:val="20"/>
              </w:rPr>
              <w:t>EG 13</w:t>
            </w:r>
          </w:p>
          <w:p w:rsidR="00DF28DA" w:rsidRPr="000349F8" w:rsidRDefault="00DF28DA" w:rsidP="008A6853">
            <w:pPr>
              <w:rPr>
                <w:sz w:val="20"/>
              </w:rPr>
            </w:pPr>
          </w:p>
          <w:p w:rsidR="00DF28DA" w:rsidRPr="000349F8" w:rsidRDefault="00DF28DA" w:rsidP="00476FAF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Pr="000349F8" w:rsidRDefault="005F5B3D" w:rsidP="004B3AA4">
            <w:pPr>
              <w:rPr>
                <w:sz w:val="20"/>
              </w:rPr>
            </w:pPr>
          </w:p>
          <w:p w:rsidR="00DF28DA" w:rsidRPr="000349F8" w:rsidRDefault="00476FAF" w:rsidP="004B3AA4">
            <w:pPr>
              <w:rPr>
                <w:sz w:val="20"/>
              </w:rPr>
            </w:pPr>
            <w:r w:rsidRPr="000349F8">
              <w:rPr>
                <w:sz w:val="20"/>
              </w:rPr>
              <w:t>Sachbearbeiter/-in</w:t>
            </w:r>
          </w:p>
          <w:p w:rsidR="000349F8" w:rsidRPr="000349F8" w:rsidRDefault="000349F8" w:rsidP="004B3AA4">
            <w:pPr>
              <w:rPr>
                <w:sz w:val="20"/>
              </w:rPr>
            </w:pPr>
          </w:p>
          <w:p w:rsidR="000349F8" w:rsidRPr="000349F8" w:rsidRDefault="000349F8" w:rsidP="004B3AA4">
            <w:pPr>
              <w:rPr>
                <w:sz w:val="20"/>
              </w:rPr>
            </w:pPr>
          </w:p>
          <w:p w:rsidR="000349F8" w:rsidRPr="000349F8" w:rsidRDefault="000349F8" w:rsidP="000349F8">
            <w:pPr>
              <w:rPr>
                <w:sz w:val="20"/>
              </w:rPr>
            </w:pPr>
            <w:r w:rsidRPr="000349F8">
              <w:rPr>
                <w:sz w:val="20"/>
              </w:rPr>
              <w:t>Sachbearbeiter/-in</w:t>
            </w:r>
          </w:p>
          <w:p w:rsidR="000349F8" w:rsidRPr="000349F8" w:rsidRDefault="000349F8" w:rsidP="004B3AA4">
            <w:pPr>
              <w:rPr>
                <w:sz w:val="20"/>
              </w:rPr>
            </w:pPr>
          </w:p>
          <w:p w:rsidR="00A03582" w:rsidRPr="000349F8" w:rsidRDefault="00A03582" w:rsidP="00476FAF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349F8" w:rsidRPr="000349F8" w:rsidRDefault="000349F8" w:rsidP="008A6853">
            <w:pPr>
              <w:rPr>
                <w:sz w:val="20"/>
              </w:rPr>
            </w:pPr>
          </w:p>
          <w:p w:rsidR="00DF28DA" w:rsidRPr="000349F8" w:rsidRDefault="00476FAF" w:rsidP="00AB0AC6">
            <w:pPr>
              <w:jc w:val="center"/>
              <w:rPr>
                <w:sz w:val="20"/>
              </w:rPr>
            </w:pPr>
            <w:r w:rsidRPr="000349F8">
              <w:rPr>
                <w:sz w:val="20"/>
              </w:rPr>
              <w:t>1,</w:t>
            </w:r>
            <w:r w:rsidR="005F4BFF" w:rsidRPr="000349F8">
              <w:rPr>
                <w:sz w:val="20"/>
              </w:rPr>
              <w:t>0</w:t>
            </w:r>
          </w:p>
          <w:p w:rsidR="005F4BFF" w:rsidRPr="000349F8" w:rsidRDefault="005F4BFF" w:rsidP="00AB0AC6">
            <w:pPr>
              <w:jc w:val="center"/>
              <w:rPr>
                <w:sz w:val="20"/>
              </w:rPr>
            </w:pPr>
          </w:p>
          <w:p w:rsidR="000349F8" w:rsidRPr="000349F8" w:rsidRDefault="000349F8" w:rsidP="00AB0AC6">
            <w:pPr>
              <w:jc w:val="center"/>
              <w:rPr>
                <w:sz w:val="20"/>
              </w:rPr>
            </w:pPr>
          </w:p>
          <w:p w:rsidR="005F4BFF" w:rsidRPr="000349F8" w:rsidRDefault="005F4BFF" w:rsidP="00AB0AC6">
            <w:pPr>
              <w:jc w:val="center"/>
              <w:rPr>
                <w:sz w:val="20"/>
              </w:rPr>
            </w:pPr>
            <w:r w:rsidRPr="000349F8">
              <w:rPr>
                <w:sz w:val="20"/>
              </w:rPr>
              <w:t>0,5</w:t>
            </w:r>
          </w:p>
          <w:p w:rsidR="00DF28DA" w:rsidRPr="000349F8" w:rsidRDefault="00DF28DA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Pr="000349F8" w:rsidRDefault="005F5B3D" w:rsidP="00A03582">
            <w:pPr>
              <w:rPr>
                <w:sz w:val="20"/>
              </w:rPr>
            </w:pPr>
          </w:p>
          <w:p w:rsidR="00DF28DA" w:rsidRDefault="008B31D9" w:rsidP="00AB0AC6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AB0AC6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  <w:p w:rsidR="008B31D9" w:rsidRDefault="008B31D9" w:rsidP="00AB0AC6">
            <w:pPr>
              <w:rPr>
                <w:sz w:val="20"/>
              </w:rPr>
            </w:pPr>
          </w:p>
          <w:p w:rsidR="008B31D9" w:rsidRPr="000349F8" w:rsidRDefault="008B31D9" w:rsidP="00AB0AC6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AB0AC6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5F5B3D" w:rsidRPr="000349F8" w:rsidRDefault="005F5B3D" w:rsidP="00A03582">
            <w:pPr>
              <w:rPr>
                <w:sz w:val="20"/>
              </w:rPr>
            </w:pPr>
          </w:p>
          <w:p w:rsidR="00344CDE" w:rsidRPr="000349F8" w:rsidRDefault="000349F8" w:rsidP="004D6F90">
            <w:pPr>
              <w:jc w:val="center"/>
              <w:rPr>
                <w:sz w:val="20"/>
              </w:rPr>
            </w:pPr>
            <w:r w:rsidRPr="000349F8">
              <w:rPr>
                <w:sz w:val="20"/>
              </w:rPr>
              <w:t>87.100</w:t>
            </w:r>
          </w:p>
          <w:p w:rsidR="000349F8" w:rsidRPr="000349F8" w:rsidRDefault="000349F8" w:rsidP="004D6F90">
            <w:pPr>
              <w:jc w:val="center"/>
              <w:rPr>
                <w:sz w:val="20"/>
              </w:rPr>
            </w:pPr>
          </w:p>
          <w:p w:rsidR="000349F8" w:rsidRPr="000349F8" w:rsidRDefault="000349F8" w:rsidP="004D6F90">
            <w:pPr>
              <w:jc w:val="center"/>
              <w:rPr>
                <w:sz w:val="20"/>
              </w:rPr>
            </w:pPr>
          </w:p>
          <w:p w:rsidR="000349F8" w:rsidRPr="000349F8" w:rsidRDefault="000349F8" w:rsidP="004D6F90">
            <w:pPr>
              <w:jc w:val="center"/>
              <w:rPr>
                <w:sz w:val="20"/>
              </w:rPr>
            </w:pPr>
            <w:r w:rsidRPr="000349F8">
              <w:rPr>
                <w:sz w:val="20"/>
              </w:rPr>
              <w:t>43.550</w:t>
            </w:r>
          </w:p>
        </w:tc>
      </w:tr>
    </w:tbl>
    <w:p w:rsidR="003D7B0B" w:rsidRPr="000349F8" w:rsidRDefault="006E0575" w:rsidP="00884D6C">
      <w:pPr>
        <w:pStyle w:val="berschrift1"/>
      </w:pPr>
      <w:r w:rsidRPr="000349F8">
        <w:t>1</w:t>
      </w:r>
      <w:r w:rsidR="00884D6C" w:rsidRPr="000349F8">
        <w:tab/>
      </w:r>
      <w:r w:rsidR="003D7B0B" w:rsidRPr="000349F8">
        <w:t>Antra</w:t>
      </w:r>
      <w:r w:rsidR="003D7B0B" w:rsidRPr="000349F8">
        <w:rPr>
          <w:u w:val="none"/>
        </w:rPr>
        <w:t>g</w:t>
      </w:r>
      <w:r w:rsidR="003D7B0B" w:rsidRPr="000349F8">
        <w:t>, Stellenausstattun</w:t>
      </w:r>
      <w:r w:rsidR="003D7B0B" w:rsidRPr="000349F8">
        <w:rPr>
          <w:u w:val="none"/>
        </w:rPr>
        <w:t>g</w:t>
      </w:r>
    </w:p>
    <w:p w:rsidR="003D7B0B" w:rsidRPr="000349F8" w:rsidRDefault="003D7B0B" w:rsidP="00884D6C"/>
    <w:p w:rsidR="003D7B0B" w:rsidRPr="000349F8" w:rsidRDefault="00390559" w:rsidP="00884D6C">
      <w:r w:rsidRPr="000349F8">
        <w:t xml:space="preserve">Beantragt wird die Schaffung von </w:t>
      </w:r>
      <w:r w:rsidR="00476FAF" w:rsidRPr="000349F8">
        <w:t>1</w:t>
      </w:r>
      <w:r w:rsidR="00DF28DA" w:rsidRPr="000349F8">
        <w:t>,</w:t>
      </w:r>
      <w:r w:rsidR="00476FAF" w:rsidRPr="000349F8">
        <w:t>5</w:t>
      </w:r>
      <w:r w:rsidRPr="000349F8">
        <w:t xml:space="preserve"> Stelle</w:t>
      </w:r>
      <w:r w:rsidR="00A03582" w:rsidRPr="000349F8">
        <w:t>n</w:t>
      </w:r>
      <w:r w:rsidR="00DF28DA" w:rsidRPr="000349F8">
        <w:t xml:space="preserve"> in EG 13 TVöD </w:t>
      </w:r>
      <w:r w:rsidR="00476FAF" w:rsidRPr="000349F8">
        <w:t xml:space="preserve">für </w:t>
      </w:r>
      <w:r w:rsidR="005F4BFF" w:rsidRPr="000349F8">
        <w:t xml:space="preserve">das Kulturamt </w:t>
      </w:r>
      <w:r w:rsidR="000349F8" w:rsidRPr="000349F8">
        <w:t xml:space="preserve">in den Abteilungen Verwaltung (41-1) und </w:t>
      </w:r>
      <w:r w:rsidR="00476FAF" w:rsidRPr="000349F8">
        <w:t xml:space="preserve">Kulturförderung </w:t>
      </w:r>
      <w:r w:rsidR="00344CDE" w:rsidRPr="000349F8">
        <w:t>(41-</w:t>
      </w:r>
      <w:r w:rsidR="00476FAF" w:rsidRPr="000349F8">
        <w:t>7</w:t>
      </w:r>
      <w:r w:rsidR="00344CDE" w:rsidRPr="000349F8">
        <w:t>)</w:t>
      </w:r>
      <w:r w:rsidR="00476FAF" w:rsidRPr="000349F8">
        <w:t xml:space="preserve"> zur Stadtentwicklung im kulturellen Bereich sowie Planungsvorbereitungen im kulturellen Bereich für das Quartier Rosenstein</w:t>
      </w:r>
      <w:r w:rsidR="00DF28DA" w:rsidRPr="000349F8">
        <w:t>.</w:t>
      </w:r>
      <w:r w:rsidR="000B1121" w:rsidRPr="000349F8">
        <w:t xml:space="preserve"> </w:t>
      </w:r>
    </w:p>
    <w:p w:rsidR="003D7B0B" w:rsidRPr="000349F8" w:rsidRDefault="003D7B0B" w:rsidP="00884D6C">
      <w:pPr>
        <w:pStyle w:val="berschrift1"/>
      </w:pPr>
      <w:r w:rsidRPr="000349F8">
        <w:t>2</w:t>
      </w:r>
      <w:r w:rsidRPr="000349F8">
        <w:tab/>
        <w:t>Schaffun</w:t>
      </w:r>
      <w:r w:rsidRPr="000349F8">
        <w:rPr>
          <w:u w:val="none"/>
        </w:rPr>
        <w:t>g</w:t>
      </w:r>
      <w:r w:rsidRPr="000349F8">
        <w:t>skriterien</w:t>
      </w:r>
    </w:p>
    <w:p w:rsidR="0065383D" w:rsidRPr="000349F8" w:rsidRDefault="0065383D" w:rsidP="00884D6C">
      <w:pPr>
        <w:rPr>
          <w:u w:val="single"/>
        </w:rPr>
      </w:pPr>
    </w:p>
    <w:p w:rsidR="000647D4" w:rsidRPr="000349F8" w:rsidRDefault="00A03582" w:rsidP="000647D4">
      <w:r w:rsidRPr="000349F8">
        <w:t>Die Stellenschaffung ist vordringlich und unabweisbar. Es handelt sich um eine neue vom G</w:t>
      </w:r>
      <w:r w:rsidR="00FC78CA" w:rsidRPr="000349F8">
        <w:t>emeinderat</w:t>
      </w:r>
      <w:r w:rsidR="00DF28DA" w:rsidRPr="000349F8">
        <w:t xml:space="preserve"> beschlossene Aufgabe.</w:t>
      </w:r>
    </w:p>
    <w:p w:rsidR="003D7B0B" w:rsidRPr="000349F8" w:rsidRDefault="003D7B0B" w:rsidP="00884D6C">
      <w:pPr>
        <w:pStyle w:val="berschrift1"/>
      </w:pPr>
      <w:r w:rsidRPr="000349F8">
        <w:t>3</w:t>
      </w:r>
      <w:r w:rsidRPr="000349F8">
        <w:tab/>
        <w:t>Bedarf</w:t>
      </w:r>
    </w:p>
    <w:p w:rsidR="003D7B0B" w:rsidRPr="000349F8" w:rsidRDefault="00884D6C" w:rsidP="00884D6C">
      <w:pPr>
        <w:pStyle w:val="berschrift2"/>
      </w:pPr>
      <w:r w:rsidRPr="000349F8">
        <w:t>3.1</w:t>
      </w:r>
      <w:r w:rsidRPr="000349F8">
        <w:tab/>
      </w:r>
      <w:r w:rsidR="006E0575" w:rsidRPr="000349F8">
        <w:t>Anlass</w:t>
      </w:r>
    </w:p>
    <w:p w:rsidR="003D7B0B" w:rsidRPr="000349F8" w:rsidRDefault="003D7B0B" w:rsidP="00884D6C"/>
    <w:p w:rsidR="00AB0AC6" w:rsidRPr="00620C86" w:rsidRDefault="00AB0AC6" w:rsidP="00AB0AC6">
      <w:r w:rsidRPr="00620C86">
        <w:t>Auf die GRDrs</w:t>
      </w:r>
      <w:r>
        <w:t>.</w:t>
      </w:r>
      <w:r w:rsidRPr="00620C86">
        <w:t xml:space="preserve"> 839/2020 „Personal- und Sachmittelbedarf bei den städtischen Ämtern im Zuge der Entwicklung des </w:t>
      </w:r>
      <w:r>
        <w:t>neuen Stadtquartiers Rosenstein</w:t>
      </w:r>
      <w:r w:rsidRPr="00620C86">
        <w:t>/Quartiere C1 + A3 im Haushalt 2020/2021“ wird verwiesen.</w:t>
      </w:r>
    </w:p>
    <w:p w:rsidR="00344CDE" w:rsidRPr="000349F8" w:rsidRDefault="00344CDE" w:rsidP="00884D6C"/>
    <w:p w:rsidR="003D7B0B" w:rsidRPr="000349F8" w:rsidRDefault="003D7B0B" w:rsidP="00165C0D">
      <w:pPr>
        <w:pStyle w:val="berschrift2"/>
      </w:pPr>
      <w:r w:rsidRPr="000349F8">
        <w:t>3.2</w:t>
      </w:r>
      <w:r w:rsidRPr="000349F8">
        <w:tab/>
        <w:t>Bisherige Aufgabenwahrnehmung</w:t>
      </w:r>
    </w:p>
    <w:p w:rsidR="003D7B0B" w:rsidRPr="000349F8" w:rsidRDefault="003D7B0B" w:rsidP="00884D6C"/>
    <w:p w:rsidR="003D7B0B" w:rsidRDefault="006C4D17" w:rsidP="00884D6C">
      <w:r w:rsidRPr="000349F8">
        <w:t xml:space="preserve">Die Abteilung Kulturförderung des Kulturamtes hat die Geschäftsführung der Arbeitsgruppe „kulturelle Stadtentwicklung“ inne. Hieraus entsteht die kulturelle Begleitung zu verschiedenen Entwicklungsflächen der Stadt sowie deren ämterübergreifende Planung. </w:t>
      </w:r>
      <w:r w:rsidR="005F4BFF" w:rsidRPr="000349F8">
        <w:t xml:space="preserve">Die Abteilung Verwaltung koordiniert die Prozesse innerhalb der Verwaltung und mit dem Land. </w:t>
      </w:r>
      <w:r w:rsidRPr="000349F8">
        <w:t>Den Schwerpunkt bildet das Areal Rosenstein und die Begleitung der entsprechenden kulturellen Bausteine, z. B. das neue Konzerthaus</w:t>
      </w:r>
      <w:r w:rsidR="005F4BFF" w:rsidRPr="000349F8">
        <w:t>, das Haus der Kulturen</w:t>
      </w:r>
      <w:r w:rsidRPr="000349F8">
        <w:t xml:space="preserve"> oder das Linden</w:t>
      </w:r>
      <w:r w:rsidR="005F4BFF" w:rsidRPr="000349F8">
        <w:t>-M</w:t>
      </w:r>
      <w:r w:rsidRPr="000349F8">
        <w:t>useum</w:t>
      </w:r>
      <w:r w:rsidR="005F4BFF" w:rsidRPr="000349F8">
        <w:t>.</w:t>
      </w:r>
    </w:p>
    <w:p w:rsidR="008B31D9" w:rsidRPr="004D6F90" w:rsidRDefault="008B31D9" w:rsidP="008B31D9">
      <w:pPr>
        <w:pStyle w:val="berschrift1"/>
        <w:rPr>
          <w:color w:val="000000" w:themeColor="text1"/>
        </w:rPr>
      </w:pPr>
      <w:r w:rsidRPr="004D6F90">
        <w:rPr>
          <w:color w:val="000000" w:themeColor="text1"/>
        </w:rPr>
        <w:lastRenderedPageBreak/>
        <w:t>4</w:t>
      </w:r>
      <w:r w:rsidRPr="004D6F90">
        <w:rPr>
          <w:color w:val="000000" w:themeColor="text1"/>
        </w:rPr>
        <w:tab/>
        <w:t>Stellenvermerke</w:t>
      </w:r>
    </w:p>
    <w:p w:rsidR="008B31D9" w:rsidRDefault="008B31D9" w:rsidP="008B31D9">
      <w:pPr>
        <w:rPr>
          <w:color w:val="000000" w:themeColor="text1"/>
        </w:rPr>
      </w:pPr>
    </w:p>
    <w:p w:rsidR="008B31D9" w:rsidRPr="004D6F90" w:rsidRDefault="008B31D9" w:rsidP="008B31D9">
      <w:pPr>
        <w:rPr>
          <w:color w:val="000000" w:themeColor="text1"/>
        </w:rPr>
      </w:pPr>
      <w:r>
        <w:rPr>
          <w:color w:val="000000" w:themeColor="text1"/>
        </w:rPr>
        <w:t>Die Stellen werden mit Vermerk KW 01/</w:t>
      </w:r>
      <w:r w:rsidR="00AB0AC6">
        <w:rPr>
          <w:color w:val="000000" w:themeColor="text1"/>
        </w:rPr>
        <w:t>20</w:t>
      </w:r>
      <w:bookmarkStart w:id="0" w:name="_GoBack"/>
      <w:bookmarkEnd w:id="0"/>
      <w:r>
        <w:rPr>
          <w:color w:val="000000" w:themeColor="text1"/>
        </w:rPr>
        <w:t>27 geschaffen.</w:t>
      </w:r>
    </w:p>
    <w:p w:rsidR="008B31D9" w:rsidRPr="000349F8" w:rsidRDefault="008B31D9" w:rsidP="00884D6C"/>
    <w:sectPr w:rsidR="008B31D9" w:rsidRPr="000349F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AB0AC6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16BA5"/>
    <w:rsid w:val="00022F3D"/>
    <w:rsid w:val="000349F8"/>
    <w:rsid w:val="00060AE0"/>
    <w:rsid w:val="000647D4"/>
    <w:rsid w:val="000A1146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0B01"/>
    <w:rsid w:val="00261F51"/>
    <w:rsid w:val="00265DAA"/>
    <w:rsid w:val="002779E3"/>
    <w:rsid w:val="002924CB"/>
    <w:rsid w:val="002A20D1"/>
    <w:rsid w:val="002B5955"/>
    <w:rsid w:val="002F52C1"/>
    <w:rsid w:val="00341F1E"/>
    <w:rsid w:val="00344CDE"/>
    <w:rsid w:val="003769DC"/>
    <w:rsid w:val="00380937"/>
    <w:rsid w:val="00390559"/>
    <w:rsid w:val="003A115C"/>
    <w:rsid w:val="003D7B0B"/>
    <w:rsid w:val="00422024"/>
    <w:rsid w:val="00460DD3"/>
    <w:rsid w:val="00463042"/>
    <w:rsid w:val="0046762D"/>
    <w:rsid w:val="00470135"/>
    <w:rsid w:val="0047606A"/>
    <w:rsid w:val="00476FAF"/>
    <w:rsid w:val="00477E86"/>
    <w:rsid w:val="004908B5"/>
    <w:rsid w:val="0049121B"/>
    <w:rsid w:val="004A1688"/>
    <w:rsid w:val="004B3AA4"/>
    <w:rsid w:val="004B6796"/>
    <w:rsid w:val="004D6F90"/>
    <w:rsid w:val="005006E0"/>
    <w:rsid w:val="0051087F"/>
    <w:rsid w:val="005434DD"/>
    <w:rsid w:val="00556BD1"/>
    <w:rsid w:val="0059239F"/>
    <w:rsid w:val="00596DF0"/>
    <w:rsid w:val="005A0A9D"/>
    <w:rsid w:val="005A56AA"/>
    <w:rsid w:val="005D43F2"/>
    <w:rsid w:val="005D6222"/>
    <w:rsid w:val="005E103A"/>
    <w:rsid w:val="005E19C6"/>
    <w:rsid w:val="005F4BFF"/>
    <w:rsid w:val="005F5B3D"/>
    <w:rsid w:val="00606F80"/>
    <w:rsid w:val="0065383D"/>
    <w:rsid w:val="00662565"/>
    <w:rsid w:val="00695F7A"/>
    <w:rsid w:val="006A0536"/>
    <w:rsid w:val="006A7700"/>
    <w:rsid w:val="006B6D50"/>
    <w:rsid w:val="006C4D17"/>
    <w:rsid w:val="006E0575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8696E"/>
    <w:rsid w:val="008A0DAF"/>
    <w:rsid w:val="008A6853"/>
    <w:rsid w:val="008B31D9"/>
    <w:rsid w:val="008B3F45"/>
    <w:rsid w:val="008B74E6"/>
    <w:rsid w:val="008C4AD8"/>
    <w:rsid w:val="00906404"/>
    <w:rsid w:val="009417E7"/>
    <w:rsid w:val="00976588"/>
    <w:rsid w:val="00990DDA"/>
    <w:rsid w:val="009D32CC"/>
    <w:rsid w:val="00A03582"/>
    <w:rsid w:val="00A27CA7"/>
    <w:rsid w:val="00A71D0A"/>
    <w:rsid w:val="00A77F1E"/>
    <w:rsid w:val="00AB0AC6"/>
    <w:rsid w:val="00AD05FA"/>
    <w:rsid w:val="00AE3D20"/>
    <w:rsid w:val="00B04290"/>
    <w:rsid w:val="00B10E22"/>
    <w:rsid w:val="00B11187"/>
    <w:rsid w:val="00B26B54"/>
    <w:rsid w:val="00B32105"/>
    <w:rsid w:val="00B43A9B"/>
    <w:rsid w:val="00B8031F"/>
    <w:rsid w:val="00B80DEF"/>
    <w:rsid w:val="00BB3429"/>
    <w:rsid w:val="00BC4669"/>
    <w:rsid w:val="00BF2B95"/>
    <w:rsid w:val="00C16EF1"/>
    <w:rsid w:val="00C448D3"/>
    <w:rsid w:val="00C76F3D"/>
    <w:rsid w:val="00CF0309"/>
    <w:rsid w:val="00D00514"/>
    <w:rsid w:val="00D461B9"/>
    <w:rsid w:val="00D541F0"/>
    <w:rsid w:val="00D96564"/>
    <w:rsid w:val="00DB3D6C"/>
    <w:rsid w:val="00DB5BCF"/>
    <w:rsid w:val="00DF28DA"/>
    <w:rsid w:val="00E014B6"/>
    <w:rsid w:val="00E1162F"/>
    <w:rsid w:val="00E11D5F"/>
    <w:rsid w:val="00E20E1F"/>
    <w:rsid w:val="00E676BE"/>
    <w:rsid w:val="00E7118F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A075D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B31D9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8</cp:revision>
  <cp:lastPrinted>2020-10-14T12:54:00Z</cp:lastPrinted>
  <dcterms:created xsi:type="dcterms:W3CDTF">2020-10-14T12:52:00Z</dcterms:created>
  <dcterms:modified xsi:type="dcterms:W3CDTF">2020-10-21T13:43:00Z</dcterms:modified>
</cp:coreProperties>
</file>