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4A" w:rsidRDefault="00C0684A" w:rsidP="00C0684A">
      <w:pPr>
        <w:tabs>
          <w:tab w:val="left" w:pos="5812"/>
        </w:tabs>
        <w:jc w:val="right"/>
      </w:pPr>
      <w:r>
        <w:rPr>
          <w:szCs w:val="24"/>
        </w:rPr>
        <w:t xml:space="preserve">Anlage </w:t>
      </w:r>
      <w:r w:rsidR="006357F0">
        <w:rPr>
          <w:szCs w:val="24"/>
        </w:rPr>
        <w:t>9</w:t>
      </w:r>
      <w:r>
        <w:rPr>
          <w:szCs w:val="24"/>
        </w:rPr>
        <w:t xml:space="preserve"> zur </w:t>
      </w:r>
      <w:proofErr w:type="spellStart"/>
      <w:r>
        <w:rPr>
          <w:szCs w:val="24"/>
        </w:rPr>
        <w:t>GRDrs</w:t>
      </w:r>
      <w:proofErr w:type="spellEnd"/>
      <w:r>
        <w:rPr>
          <w:szCs w:val="24"/>
        </w:rPr>
        <w:t xml:space="preserve"> </w:t>
      </w:r>
      <w:r w:rsidR="00CD2714">
        <w:rPr>
          <w:szCs w:val="24"/>
        </w:rPr>
        <w:t>831/</w:t>
      </w:r>
      <w:r w:rsidR="001E1892">
        <w:rPr>
          <w:szCs w:val="24"/>
        </w:rPr>
        <w:t>2017</w:t>
      </w:r>
    </w:p>
    <w:p w:rsidR="00C0684A" w:rsidRDefault="00C0684A" w:rsidP="00C0684A"/>
    <w:p w:rsidR="00852F37" w:rsidRDefault="00852F37" w:rsidP="00C0684A"/>
    <w:p w:rsidR="00C0684A" w:rsidRDefault="00C0684A" w:rsidP="00C0684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</w:t>
      </w:r>
      <w:r w:rsidR="00744E64">
        <w:rPr>
          <w:b/>
          <w:sz w:val="36"/>
          <w:u w:val="single"/>
        </w:rPr>
        <w:t>schaffung</w:t>
      </w:r>
    </w:p>
    <w:p w:rsidR="00C0684A" w:rsidRPr="00CD2714" w:rsidRDefault="00CD2714" w:rsidP="00C0684A">
      <w:pPr>
        <w:tabs>
          <w:tab w:val="left" w:pos="6521"/>
        </w:tabs>
        <w:jc w:val="center"/>
        <w:rPr>
          <w:u w:val="single"/>
        </w:rPr>
      </w:pPr>
      <w:r w:rsidRPr="00CD2714">
        <w:rPr>
          <w:b/>
          <w:sz w:val="36"/>
          <w:u w:val="single"/>
        </w:rPr>
        <w:t>zum Stellenplan 2018</w:t>
      </w:r>
    </w:p>
    <w:p w:rsidR="00DA489C" w:rsidRDefault="00DA489C" w:rsidP="00C0684A"/>
    <w:p w:rsidR="00852F37" w:rsidRDefault="00852F37" w:rsidP="00C0684A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3"/>
        <w:gridCol w:w="1700"/>
        <w:gridCol w:w="794"/>
        <w:gridCol w:w="1927"/>
        <w:gridCol w:w="737"/>
        <w:gridCol w:w="1133"/>
        <w:gridCol w:w="1421"/>
      </w:tblGrid>
      <w:tr w:rsidR="006357F0" w:rsidRPr="006E0575" w:rsidTr="006357F0">
        <w:trPr>
          <w:tblHeader/>
        </w:trPr>
        <w:tc>
          <w:tcPr>
            <w:tcW w:w="1813" w:type="dxa"/>
            <w:shd w:val="pct12" w:color="auto" w:fill="FFFFFF"/>
            <w:vAlign w:val="center"/>
          </w:tcPr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0" w:type="dxa"/>
            <w:shd w:val="pct12" w:color="auto" w:fill="FFFFFF"/>
            <w:vAlign w:val="center"/>
          </w:tcPr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357F0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357F0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7" w:type="dxa"/>
            <w:shd w:val="pct12" w:color="auto" w:fill="FFFFFF"/>
            <w:vAlign w:val="center"/>
          </w:tcPr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3" w:type="dxa"/>
            <w:shd w:val="pct12" w:color="auto" w:fill="FFFFFF"/>
            <w:vAlign w:val="center"/>
          </w:tcPr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21" w:type="dxa"/>
            <w:shd w:val="pct12" w:color="auto" w:fill="FFFFFF"/>
            <w:vAlign w:val="center"/>
          </w:tcPr>
          <w:p w:rsidR="006357F0" w:rsidRPr="006E0575" w:rsidRDefault="006357F0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6357F0" w:rsidRPr="006357F0" w:rsidTr="006357F0">
        <w:trPr>
          <w:tblHeader/>
        </w:trPr>
        <w:tc>
          <w:tcPr>
            <w:tcW w:w="1813" w:type="dxa"/>
            <w:shd w:val="clear" w:color="auto" w:fill="auto"/>
            <w:vAlign w:val="center"/>
          </w:tcPr>
          <w:p w:rsidR="006357F0" w:rsidRP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  <w:p w:rsidR="006357F0" w:rsidRP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  <w:r w:rsidRPr="006357F0">
              <w:rPr>
                <w:sz w:val="20"/>
              </w:rPr>
              <w:t>320.03.01.XXX</w:t>
            </w:r>
          </w:p>
          <w:p w:rsidR="006357F0" w:rsidRP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  <w:p w:rsidR="006357F0" w:rsidRP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  <w:r w:rsidRPr="006357F0">
              <w:rPr>
                <w:sz w:val="20"/>
              </w:rPr>
              <w:t>32315311</w:t>
            </w:r>
          </w:p>
          <w:p w:rsidR="006357F0" w:rsidRPr="006357F0" w:rsidRDefault="006357F0" w:rsidP="009A753F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357F0">
              <w:rPr>
                <w:sz w:val="20"/>
              </w:rPr>
              <w:t xml:space="preserve">Amt für </w:t>
            </w:r>
            <w:proofErr w:type="spellStart"/>
            <w:r w:rsidRPr="006357F0">
              <w:rPr>
                <w:sz w:val="20"/>
              </w:rPr>
              <w:t>öffentli</w:t>
            </w:r>
            <w:proofErr w:type="spellEnd"/>
            <w:r>
              <w:rPr>
                <w:sz w:val="20"/>
              </w:rPr>
              <w:t>-</w:t>
            </w:r>
          </w:p>
          <w:p w:rsidR="006357F0" w:rsidRP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 w:rsidRPr="006357F0">
              <w:rPr>
                <w:sz w:val="20"/>
              </w:rPr>
              <w:t>he</w:t>
            </w:r>
            <w:proofErr w:type="spellEnd"/>
            <w:r>
              <w:rPr>
                <w:sz w:val="20"/>
              </w:rPr>
              <w:t xml:space="preserve"> </w:t>
            </w:r>
            <w:r w:rsidRPr="006357F0">
              <w:rPr>
                <w:sz w:val="20"/>
              </w:rPr>
              <w:t>Ordnung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357F0" w:rsidRPr="006357F0" w:rsidRDefault="006357F0" w:rsidP="006357F0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6357F0">
              <w:rPr>
                <w:sz w:val="20"/>
              </w:rPr>
              <w:t>A 10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357F0">
              <w:rPr>
                <w:sz w:val="20"/>
              </w:rPr>
              <w:t>Sachbearbeiter/-in</w:t>
            </w:r>
          </w:p>
          <w:p w:rsidR="006357F0" w:rsidRPr="006357F0" w:rsidRDefault="006357F0" w:rsidP="006357F0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 xml:space="preserve"> S</w:t>
            </w:r>
            <w:r w:rsidRPr="006357F0">
              <w:rPr>
                <w:sz w:val="20"/>
              </w:rPr>
              <w:t>traßenrecht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6357F0" w:rsidRPr="006357F0" w:rsidRDefault="006357F0" w:rsidP="006357F0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57F0" w:rsidRPr="006357F0" w:rsidRDefault="006357F0" w:rsidP="006357F0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357F0" w:rsidRPr="006357F0" w:rsidRDefault="006357F0" w:rsidP="006357F0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81.300</w:t>
            </w:r>
          </w:p>
        </w:tc>
      </w:tr>
    </w:tbl>
    <w:p w:rsidR="00C0684A" w:rsidRPr="003972AC" w:rsidRDefault="00FA2D93" w:rsidP="00A75A88">
      <w:pPr>
        <w:pStyle w:val="berschrift1"/>
        <w:numPr>
          <w:ilvl w:val="0"/>
          <w:numId w:val="0"/>
        </w:numPr>
        <w:ind w:left="284" w:hanging="284"/>
      </w:pPr>
      <w:r w:rsidRPr="003972AC">
        <w:t>1</w:t>
      </w:r>
      <w:r w:rsidR="00C0684A" w:rsidRPr="003972AC">
        <w:tab/>
        <w:t>Antrag, Stellenausstattung</w:t>
      </w:r>
    </w:p>
    <w:p w:rsidR="00C0684A" w:rsidRPr="00FA2D93" w:rsidRDefault="00C0684A" w:rsidP="00C0684A"/>
    <w:p w:rsidR="00D5399C" w:rsidRPr="00BF2B67" w:rsidRDefault="00D5399C" w:rsidP="00D5399C">
      <w:r w:rsidRPr="00BF2B67">
        <w:t>Bean</w:t>
      </w:r>
      <w:r w:rsidR="00A97A60" w:rsidRPr="00BF2B67">
        <w:t>tragt wird die Schaffung von 1,0</w:t>
      </w:r>
      <w:r w:rsidR="00AF62FD" w:rsidRPr="00BF2B67">
        <w:t xml:space="preserve"> Stelle</w:t>
      </w:r>
      <w:r w:rsidR="00676C3B" w:rsidRPr="00BF2B67">
        <w:t>n</w:t>
      </w:r>
      <w:r w:rsidR="00AF62FD" w:rsidRPr="00BF2B67">
        <w:t xml:space="preserve"> in A 10</w:t>
      </w:r>
      <w:r w:rsidRPr="00BF2B67">
        <w:t xml:space="preserve"> für die </w:t>
      </w:r>
      <w:r w:rsidR="00A97A60" w:rsidRPr="00BF2B67">
        <w:t xml:space="preserve">Sachbearbeitung </w:t>
      </w:r>
      <w:r w:rsidR="00AF62FD" w:rsidRPr="00BF2B67">
        <w:t>Reinigungsverpflichtung nach der Satzung über das Reinigen, Räumen und Bestreuen der Gehwege</w:t>
      </w:r>
      <w:r w:rsidR="00A97A60" w:rsidRPr="00BF2B67">
        <w:t xml:space="preserve"> </w:t>
      </w:r>
      <w:r w:rsidRPr="00BF2B67">
        <w:t>bei der Straßenverkehrsbehörde.</w:t>
      </w:r>
    </w:p>
    <w:p w:rsidR="00C0684A" w:rsidRPr="003972AC" w:rsidRDefault="00C0684A" w:rsidP="00A75A88">
      <w:pPr>
        <w:pStyle w:val="berschrift1"/>
        <w:numPr>
          <w:ilvl w:val="0"/>
          <w:numId w:val="0"/>
        </w:numPr>
        <w:ind w:left="284" w:hanging="284"/>
      </w:pPr>
      <w:r w:rsidRPr="003972AC">
        <w:t>2</w:t>
      </w:r>
      <w:r w:rsidRPr="003972AC">
        <w:tab/>
        <w:t>Schaffungskriterien</w:t>
      </w:r>
    </w:p>
    <w:p w:rsidR="00581333" w:rsidRDefault="00581333" w:rsidP="00C0684A"/>
    <w:p w:rsidR="006357F0" w:rsidRDefault="006357F0" w:rsidP="006357F0">
      <w:r>
        <w:t xml:space="preserve">Die Schaffung der Stelle ist in der „Grünen Liste“ zum Haushalt 2018 enthalten. Die Stellen </w:t>
      </w:r>
      <w:r w:rsidR="00C12AB1">
        <w:t>ist</w:t>
      </w:r>
      <w:r>
        <w:t xml:space="preserve"> Teil des Pakets </w:t>
      </w:r>
      <w:r w:rsidRPr="001E6242">
        <w:rPr>
          <w:noProof/>
          <w:szCs w:val="22"/>
        </w:rPr>
        <w:t>„Sauberes Stuttgart“</w:t>
      </w:r>
      <w:r>
        <w:rPr>
          <w:noProof/>
          <w:szCs w:val="22"/>
        </w:rPr>
        <w:t>.</w:t>
      </w:r>
    </w:p>
    <w:p w:rsidR="006357F0" w:rsidRDefault="006357F0" w:rsidP="00C0684A"/>
    <w:p w:rsidR="00B207FE" w:rsidRPr="001E6242" w:rsidRDefault="00B207FE" w:rsidP="00B207FE">
      <w:r w:rsidRPr="001E6242">
        <w:rPr>
          <w:noProof/>
          <w:szCs w:val="22"/>
        </w:rPr>
        <w:t xml:space="preserve">Im Rahmen des </w:t>
      </w:r>
      <w:r w:rsidR="00AF62FD" w:rsidRPr="001E6242">
        <w:rPr>
          <w:noProof/>
          <w:szCs w:val="22"/>
        </w:rPr>
        <w:t>Konzepts</w:t>
      </w:r>
      <w:r w:rsidRPr="001E6242">
        <w:rPr>
          <w:noProof/>
          <w:szCs w:val="22"/>
        </w:rPr>
        <w:t xml:space="preserve"> wurde </w:t>
      </w:r>
      <w:r w:rsidR="00AF62FD" w:rsidRPr="001E6242">
        <w:rPr>
          <w:noProof/>
          <w:szCs w:val="22"/>
        </w:rPr>
        <w:t>ein</w:t>
      </w:r>
      <w:r w:rsidRPr="001E6242">
        <w:rPr>
          <w:noProof/>
          <w:szCs w:val="22"/>
        </w:rPr>
        <w:t xml:space="preserve"> </w:t>
      </w:r>
      <w:r w:rsidR="00AF62FD" w:rsidRPr="001E6242">
        <w:rPr>
          <w:noProof/>
          <w:szCs w:val="22"/>
        </w:rPr>
        <w:t>umfangreiches Maßnahmenpaket</w:t>
      </w:r>
      <w:r w:rsidR="00886B34">
        <w:rPr>
          <w:noProof/>
          <w:szCs w:val="22"/>
        </w:rPr>
        <w:t xml:space="preserve"> entwickelt, mit dem unter anderem die Verpflichtung von Anliegern zur Reinigung der Gehwege vorgesehen ist. Damit entsteht bei der Straßenverkehrsbehörde eine erhebliche Arbeitsvermehrung, die nicht durch andere Maßnahmen aufgefangen werden kann</w:t>
      </w:r>
      <w:r w:rsidR="00676C3B" w:rsidRPr="001E6242">
        <w:t>.</w:t>
      </w:r>
    </w:p>
    <w:p w:rsidR="00C0684A" w:rsidRPr="00FA2D93" w:rsidRDefault="00C0684A" w:rsidP="00C0684A">
      <w:pPr>
        <w:pStyle w:val="berschrift1"/>
        <w:numPr>
          <w:ilvl w:val="0"/>
          <w:numId w:val="0"/>
        </w:numPr>
        <w:ind w:left="284" w:hanging="284"/>
      </w:pPr>
      <w:r w:rsidRPr="00FA2D93">
        <w:t>3</w:t>
      </w:r>
      <w:r w:rsidRPr="00FA2D93">
        <w:tab/>
      </w:r>
      <w:r w:rsidR="008C1FBF">
        <w:t>B</w:t>
      </w:r>
      <w:r w:rsidRPr="00FA2D93">
        <w:t>edarf</w:t>
      </w:r>
    </w:p>
    <w:p w:rsidR="00852F37" w:rsidRDefault="00852F37" w:rsidP="00852F37"/>
    <w:p w:rsidR="00870847" w:rsidRDefault="00870847" w:rsidP="00852F37">
      <w:pPr>
        <w:rPr>
          <w:b/>
        </w:rPr>
      </w:pPr>
      <w:r w:rsidRPr="00870847">
        <w:rPr>
          <w:b/>
        </w:rPr>
        <w:t>3.1 Anlass</w:t>
      </w:r>
    </w:p>
    <w:p w:rsidR="00AF6265" w:rsidRDefault="00AF6265" w:rsidP="00852F37">
      <w:pPr>
        <w:rPr>
          <w:b/>
        </w:rPr>
      </w:pPr>
    </w:p>
    <w:p w:rsidR="00BF22A6" w:rsidRPr="00D94B47" w:rsidRDefault="00676C3B" w:rsidP="00FF3D64">
      <w:pPr>
        <w:rPr>
          <w:strike/>
        </w:rPr>
      </w:pPr>
      <w:r w:rsidRPr="00BF2B67">
        <w:t>D</w:t>
      </w:r>
      <w:r w:rsidR="007E496F" w:rsidRPr="00BF2B67">
        <w:t xml:space="preserve">ie </w:t>
      </w:r>
      <w:proofErr w:type="spellStart"/>
      <w:r w:rsidR="007E496F" w:rsidRPr="00BF2B67">
        <w:t>Vermüllung</w:t>
      </w:r>
      <w:proofErr w:type="spellEnd"/>
      <w:r w:rsidRPr="00BF2B67">
        <w:t xml:space="preserve"> in Stuttgart</w:t>
      </w:r>
      <w:r w:rsidR="007E496F" w:rsidRPr="00BF2B67">
        <w:t xml:space="preserve"> </w:t>
      </w:r>
      <w:r w:rsidR="001E6242">
        <w:t xml:space="preserve">hat </w:t>
      </w:r>
      <w:r w:rsidR="007E496F" w:rsidRPr="00BF2B67">
        <w:t xml:space="preserve">in den letzten Jahren kontinuierlich und signifikant zugenommen. </w:t>
      </w:r>
      <w:r w:rsidR="007E4E55" w:rsidRPr="00BF2B67">
        <w:t>Aus diesem Grund wurde d</w:t>
      </w:r>
      <w:r w:rsidR="00FF3D64" w:rsidRPr="00BF2B67">
        <w:t xml:space="preserve">as </w:t>
      </w:r>
      <w:r w:rsidR="007E496F" w:rsidRPr="00BF2B67">
        <w:t>K</w:t>
      </w:r>
      <w:r w:rsidR="00FF3D64" w:rsidRPr="00BF2B67">
        <w:t xml:space="preserve">onzept </w:t>
      </w:r>
      <w:r w:rsidR="007E496F" w:rsidRPr="00BF2B67">
        <w:t>„Sauberes Stuttgart“</w:t>
      </w:r>
      <w:r w:rsidR="00EA0D83" w:rsidRPr="00BF2B67">
        <w:t xml:space="preserve"> </w:t>
      </w:r>
      <w:r w:rsidRPr="00BF2B67">
        <w:t xml:space="preserve">auf Wunsch des Oberbürgermeisters </w:t>
      </w:r>
      <w:r w:rsidR="00FF3D64" w:rsidRPr="00BF2B67">
        <w:t xml:space="preserve">unter Federführung von </w:t>
      </w:r>
      <w:r w:rsidR="00D94B47">
        <w:t xml:space="preserve">Referat </w:t>
      </w:r>
      <w:r w:rsidR="00EA0D83" w:rsidRPr="00BF2B67">
        <w:t>T</w:t>
      </w:r>
      <w:r w:rsidR="00FF3D64" w:rsidRPr="00BF2B67">
        <w:t xml:space="preserve"> entwickelt</w:t>
      </w:r>
      <w:r w:rsidR="00163178" w:rsidRPr="00BF2B67">
        <w:t xml:space="preserve">. </w:t>
      </w:r>
      <w:r w:rsidR="00EA0D83" w:rsidRPr="00BF2B67">
        <w:t xml:space="preserve">Bereits 2013 wurde ein erstes Konzept gegen die zunehmende </w:t>
      </w:r>
      <w:proofErr w:type="spellStart"/>
      <w:r w:rsidR="00EA0D83" w:rsidRPr="00BF2B67">
        <w:t>Vermüllung</w:t>
      </w:r>
      <w:proofErr w:type="spellEnd"/>
      <w:r w:rsidR="00EA0D83" w:rsidRPr="00BF2B67">
        <w:t xml:space="preserve"> beschlossen, an </w:t>
      </w:r>
      <w:r w:rsidR="00D94B47">
        <w:t>welches</w:t>
      </w:r>
      <w:r w:rsidR="00EA0D83" w:rsidRPr="00BF2B67">
        <w:t xml:space="preserve"> das </w:t>
      </w:r>
      <w:r w:rsidR="00BF22A6" w:rsidRPr="00BF2B67">
        <w:t xml:space="preserve">aktuelle </w:t>
      </w:r>
      <w:r w:rsidR="00EA0D83" w:rsidRPr="00BF2B67">
        <w:t xml:space="preserve">Konzept anknüpft. Es basiert auf </w:t>
      </w:r>
      <w:r w:rsidR="00AF0D4A" w:rsidRPr="00BF2B67">
        <w:t xml:space="preserve">den </w:t>
      </w:r>
      <w:r w:rsidR="00EA0D83" w:rsidRPr="00BF2B67">
        <w:t>vier Säulen</w:t>
      </w:r>
      <w:r w:rsidR="00AF0D4A" w:rsidRPr="00BF2B67">
        <w:t>:</w:t>
      </w:r>
      <w:r w:rsidR="00EA0D83" w:rsidRPr="00BF2B67">
        <w:t xml:space="preserve"> „verstärkte Reinigung“, „Prävention“, „</w:t>
      </w:r>
      <w:r w:rsidR="00CD0AED" w:rsidRPr="00BF2B67">
        <w:t>K</w:t>
      </w:r>
      <w:r w:rsidR="00EA0D83" w:rsidRPr="00BF2B67">
        <w:t>ontrolle und Strafen“ sowie „Öffentlichkeitsarbeit“.</w:t>
      </w:r>
      <w:r w:rsidR="00AA4E14">
        <w:t xml:space="preserve"> </w:t>
      </w:r>
      <w:r w:rsidR="00CD0AED">
        <w:t>Maßnahmen im Bereich „Kontrolle und Strafen“ sehen u. a. eine Aufstockung des Bereiches Straßenrecht beim Amt für öffentliche Ordnung vo</w:t>
      </w:r>
      <w:r w:rsidR="00CD0AED" w:rsidRPr="00BF2B67">
        <w:t>r</w:t>
      </w:r>
      <w:r w:rsidR="007E4E55" w:rsidRPr="00BF2B67">
        <w:t>.</w:t>
      </w:r>
    </w:p>
    <w:p w:rsidR="00BF2B67" w:rsidRDefault="00BF2B67" w:rsidP="00FF3D64"/>
    <w:p w:rsidR="00BE3372" w:rsidRDefault="00CD0AED" w:rsidP="00FF3D64">
      <w:r>
        <w:t>Durch erhöhte Überwachung und Meldung von Verstöße</w:t>
      </w:r>
      <w:r w:rsidRPr="00BF2B67">
        <w:t>n</w:t>
      </w:r>
      <w:r w:rsidR="00AF0D4A" w:rsidRPr="00BF2B67">
        <w:t>,</w:t>
      </w:r>
      <w:r w:rsidR="00BE3372">
        <w:t xml:space="preserve"> soll die Anliegerverpflichtung zur Reinigung der Gehwege stärker </w:t>
      </w:r>
      <w:r w:rsidR="00BF22A6">
        <w:t xml:space="preserve">durchgesetzt werden. </w:t>
      </w:r>
      <w:r w:rsidR="00BE3372">
        <w:t xml:space="preserve">So sollen bei festgestellten Verschmutzungen die Anlieger von der Straßenverkehrsbehörde zeitnah angeschrieben und auf die bestehende Verpflichtung aus der Satzung hingewiesen werden. </w:t>
      </w:r>
      <w:r w:rsidR="00BE3372" w:rsidRPr="007E4E55">
        <w:t xml:space="preserve">Bei wiederholten Verstößen gegen die Satzung sollen Bußgelder </w:t>
      </w:r>
      <w:r w:rsidR="00BE3372">
        <w:t xml:space="preserve">verhängt </w:t>
      </w:r>
      <w:r w:rsidR="00BE3372">
        <w:lastRenderedPageBreak/>
        <w:t>werden.</w:t>
      </w:r>
      <w:r w:rsidR="00C01025">
        <w:t xml:space="preserve"> </w:t>
      </w:r>
      <w:r w:rsidR="004F1A07">
        <w:t xml:space="preserve">Erfahrungsgemäß ist bei solchen Maßnahmen </w:t>
      </w:r>
      <w:r w:rsidR="004F1A07" w:rsidRPr="007E4E55">
        <w:t>der Aufwand für Tät</w:t>
      </w:r>
      <w:r w:rsidR="001E6242">
        <w:t>erermittlung,</w:t>
      </w:r>
      <w:r w:rsidR="004F1A07" w:rsidRPr="007E4E55">
        <w:t xml:space="preserve"> Ahndung und Beratung der Anlieger sehr hoch.</w:t>
      </w:r>
      <w:r w:rsidR="00B215B8" w:rsidRPr="007E4E55">
        <w:t xml:space="preserve"> </w:t>
      </w:r>
      <w:r w:rsidR="00B215B8">
        <w:t>Die Erfahrung der letzten Jahre zeigt</w:t>
      </w:r>
      <w:r w:rsidR="00F205DA">
        <w:t xml:space="preserve"> auch</w:t>
      </w:r>
      <w:r w:rsidR="00B215B8">
        <w:t>, dass gerade der Bereich Anliegerverpflichtung ein beliebter Spielball zur Austragung von Nachbarschaftsstreitigkeiten ist, die von der Straßenverkehrsbehörde zu schlichten sind.</w:t>
      </w:r>
    </w:p>
    <w:p w:rsidR="00BE3372" w:rsidRDefault="00BE3372" w:rsidP="00FF3D64"/>
    <w:p w:rsidR="00BF22A6" w:rsidRPr="000C0C0E" w:rsidRDefault="00FF3D64" w:rsidP="00FF3D64">
      <w:r w:rsidRPr="000C0C0E">
        <w:t xml:space="preserve">Letztlich sind im Rahmen der geplanten Kommunikationskampagne </w:t>
      </w:r>
      <w:r w:rsidR="007E4E55" w:rsidRPr="000C0C0E">
        <w:t xml:space="preserve">auch </w:t>
      </w:r>
      <w:r w:rsidRPr="000C0C0E">
        <w:t>Anliegen der Öffentlichkeit und Gremien zu</w:t>
      </w:r>
      <w:r w:rsidR="00BE3372" w:rsidRPr="000C0C0E">
        <w:t>r Anliegerverpflichtung</w:t>
      </w:r>
      <w:r w:rsidR="00F4187E" w:rsidRPr="000C0C0E">
        <w:t xml:space="preserve"> zu beantworten.</w:t>
      </w:r>
    </w:p>
    <w:p w:rsidR="00BF22A6" w:rsidRDefault="00BF22A6" w:rsidP="00FF3D64"/>
    <w:p w:rsidR="00C01025" w:rsidRDefault="00BF2B67" w:rsidP="00FF3D64">
      <w:r>
        <w:t xml:space="preserve">Eine Prognose </w:t>
      </w:r>
      <w:r w:rsidR="001E6242">
        <w:t>zur</w:t>
      </w:r>
      <w:r w:rsidR="000C0C0E">
        <w:t xml:space="preserve"> </w:t>
      </w:r>
      <w:r w:rsidR="001E6242">
        <w:t>Anzahl</w:t>
      </w:r>
      <w:r w:rsidR="000C0C0E">
        <w:t xml:space="preserve"> </w:t>
      </w:r>
      <w:r>
        <w:t>eingehende</w:t>
      </w:r>
      <w:r w:rsidR="000C0C0E">
        <w:t>r</w:t>
      </w:r>
      <w:r>
        <w:t xml:space="preserve"> Meldungen ist zum aktuellen Zeitpunkt schwierig.</w:t>
      </w:r>
      <w:r w:rsidR="000C0C0E">
        <w:t xml:space="preserve"> Zu Beginn der Kampagne ist sicher auch zusätzlich mit einer deutlich höheren Meldequote aus der Bürgerschaft zu rechnen.</w:t>
      </w:r>
      <w:r w:rsidR="00762197">
        <w:t xml:space="preserve"> </w:t>
      </w:r>
      <w:r w:rsidR="000C0C0E" w:rsidRPr="001E6242">
        <w:t xml:space="preserve">Für die Bearbeitung einer Beschwerde </w:t>
      </w:r>
      <w:r w:rsidR="00C01025">
        <w:t>sind die</w:t>
      </w:r>
      <w:r w:rsidR="000C0C0E" w:rsidRPr="001E6242">
        <w:t xml:space="preserve"> </w:t>
      </w:r>
      <w:r w:rsidR="001E6242" w:rsidRPr="001E6242">
        <w:t>Recherche der Örtlichkeits- und Eigentumsverhältnisse</w:t>
      </w:r>
      <w:r w:rsidR="000C0C0E" w:rsidRPr="001E6242">
        <w:t xml:space="preserve">, </w:t>
      </w:r>
      <w:r w:rsidR="001E6242" w:rsidRPr="001E6242">
        <w:t>bei Bedarf Ortsbegehung, schriftliche</w:t>
      </w:r>
      <w:bookmarkStart w:id="0" w:name="_GoBack"/>
      <w:bookmarkEnd w:id="0"/>
      <w:r w:rsidR="001E6242" w:rsidRPr="001E6242">
        <w:t xml:space="preserve"> Kontaktaufnahme zum Eigentümer, Maßnahmenanordnung, Beschwerdebeantwortung</w:t>
      </w:r>
      <w:r w:rsidR="000C0C0E" w:rsidRPr="001E6242">
        <w:t xml:space="preserve">, </w:t>
      </w:r>
      <w:r w:rsidR="001E6242" w:rsidRPr="001E6242">
        <w:t>Beauftragung der Nachkontrolle und Bearbeitung dieser bei Bedarf sowie</w:t>
      </w:r>
      <w:r w:rsidR="000C0C0E" w:rsidRPr="001E6242">
        <w:t xml:space="preserve"> ggf. </w:t>
      </w:r>
      <w:r w:rsidR="001E6242" w:rsidRPr="001E6242">
        <w:t xml:space="preserve">nachfolgendem </w:t>
      </w:r>
      <w:proofErr w:type="spellStart"/>
      <w:r w:rsidR="000C0C0E" w:rsidRPr="001E6242">
        <w:t>Ordnungswidrigkeitenverfahren</w:t>
      </w:r>
      <w:proofErr w:type="spellEnd"/>
      <w:r w:rsidR="00C01025">
        <w:t xml:space="preserve"> notwendig.</w:t>
      </w:r>
    </w:p>
    <w:p w:rsidR="00801795" w:rsidRDefault="00801795" w:rsidP="00FF3D64"/>
    <w:p w:rsidR="00870847" w:rsidRDefault="00BF2B12" w:rsidP="00C0684A">
      <w:pPr>
        <w:ind w:right="-20"/>
      </w:pPr>
      <w:r>
        <w:rPr>
          <w:b/>
        </w:rPr>
        <w:t xml:space="preserve">3.2 </w:t>
      </w:r>
      <w:r w:rsidR="00870847" w:rsidRPr="00870847">
        <w:rPr>
          <w:b/>
        </w:rPr>
        <w:t>Bisherige Aufgabenwahrnehmung</w:t>
      </w:r>
      <w:r w:rsidR="00870847">
        <w:t>:</w:t>
      </w:r>
    </w:p>
    <w:p w:rsidR="00A97A60" w:rsidRDefault="00A97A60" w:rsidP="00C0684A">
      <w:pPr>
        <w:ind w:right="-20"/>
      </w:pPr>
    </w:p>
    <w:p w:rsidR="0065303C" w:rsidRPr="00BF2B67" w:rsidRDefault="00FF3D64" w:rsidP="00FF3D64">
      <w:pPr>
        <w:ind w:right="-20"/>
      </w:pPr>
      <w:r w:rsidRPr="00BF2B67">
        <w:t xml:space="preserve">Anordnungen im Bereich </w:t>
      </w:r>
      <w:r w:rsidR="004F1A07" w:rsidRPr="00BF2B67">
        <w:t>Anliegerverpflichtung</w:t>
      </w:r>
      <w:r w:rsidRPr="00BF2B67">
        <w:t xml:space="preserve"> </w:t>
      </w:r>
      <w:r w:rsidR="00BF22A6" w:rsidRPr="00BF2B67">
        <w:t xml:space="preserve">fallen bisher </w:t>
      </w:r>
      <w:r w:rsidR="000E67E7">
        <w:t>in geringer Anzahl</w:t>
      </w:r>
      <w:r w:rsidR="007E4E55" w:rsidRPr="00BF2B67">
        <w:t xml:space="preserve"> </w:t>
      </w:r>
      <w:r w:rsidR="00BF22A6" w:rsidRPr="00BF2B67">
        <w:t>an und</w:t>
      </w:r>
      <w:r w:rsidR="007E4E55" w:rsidRPr="00BF2B67">
        <w:t xml:space="preserve"> </w:t>
      </w:r>
      <w:r w:rsidRPr="00BF2B67">
        <w:t>werden</w:t>
      </w:r>
      <w:r w:rsidR="00E863B9">
        <w:t xml:space="preserve"> </w:t>
      </w:r>
      <w:r w:rsidR="00FD16D4" w:rsidRPr="00BF2B67">
        <w:t>mitbearbeitet.</w:t>
      </w:r>
      <w:r w:rsidR="00BF2B67" w:rsidRPr="00BF2B67">
        <w:t xml:space="preserve"> </w:t>
      </w:r>
      <w:r w:rsidR="008C1FBF" w:rsidRPr="00BF2B67">
        <w:t>Die Sachbearbeiter/-</w:t>
      </w:r>
      <w:r w:rsidRPr="00BF2B67">
        <w:t>in</w:t>
      </w:r>
      <w:r w:rsidR="00FD16D4" w:rsidRPr="00BF2B67">
        <w:t>nen</w:t>
      </w:r>
      <w:r w:rsidRPr="00BF2B67">
        <w:t xml:space="preserve"> </w:t>
      </w:r>
      <w:r w:rsidR="00BF22A6" w:rsidRPr="00BF2B67">
        <w:t xml:space="preserve">des Teams Straßenrecht </w:t>
      </w:r>
      <w:r w:rsidRPr="00BF2B67">
        <w:t>befinde</w:t>
      </w:r>
      <w:r w:rsidR="00FD16D4" w:rsidRPr="00BF2B67">
        <w:t>n</w:t>
      </w:r>
      <w:r w:rsidRPr="00BF2B67">
        <w:t xml:space="preserve"> sich </w:t>
      </w:r>
      <w:r w:rsidR="00FD16D4" w:rsidRPr="00BF2B67">
        <w:t xml:space="preserve">jedoch </w:t>
      </w:r>
      <w:r w:rsidRPr="00BF2B67">
        <w:t>ber</w:t>
      </w:r>
      <w:r w:rsidR="00297417" w:rsidRPr="00BF2B67">
        <w:t xml:space="preserve">eits an </w:t>
      </w:r>
      <w:r w:rsidR="0065303C" w:rsidRPr="00BF2B67">
        <w:t xml:space="preserve">der </w:t>
      </w:r>
      <w:r w:rsidR="00297417" w:rsidRPr="00BF2B67">
        <w:t>Kapazitätsgrenze.</w:t>
      </w:r>
      <w:r w:rsidR="0065303C" w:rsidRPr="00BF2B67">
        <w:t xml:space="preserve"> Der beschriebene, zusätzliche Aufwand kann mit der bestehenden Personalkapazität </w:t>
      </w:r>
      <w:r w:rsidR="00BF22A6" w:rsidRPr="00BF2B67">
        <w:t xml:space="preserve">daher </w:t>
      </w:r>
      <w:r w:rsidR="0065303C" w:rsidRPr="00BF2B67">
        <w:t>nicht aufgefangen werden.</w:t>
      </w:r>
    </w:p>
    <w:p w:rsidR="00C0684A" w:rsidRPr="003972AC" w:rsidRDefault="00BF2B12" w:rsidP="00C0684A">
      <w:pPr>
        <w:pStyle w:val="berschrift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3.3 </w:t>
      </w:r>
      <w:r w:rsidR="00C0684A" w:rsidRPr="003972AC">
        <w:rPr>
          <w:rFonts w:ascii="Arial" w:hAnsi="Arial" w:cs="Arial"/>
          <w:color w:val="auto"/>
          <w:sz w:val="24"/>
          <w:szCs w:val="24"/>
        </w:rPr>
        <w:t>Auswirkungen bei Ablehnung der Stellenschaffungen</w:t>
      </w:r>
    </w:p>
    <w:p w:rsidR="001E6242" w:rsidRDefault="001E6242" w:rsidP="00C0684A"/>
    <w:p w:rsidR="00AA5950" w:rsidRPr="009467B1" w:rsidRDefault="00140363" w:rsidP="00C0684A">
      <w:r>
        <w:t xml:space="preserve">Die für die Umsetzung des Konzeptes </w:t>
      </w:r>
      <w:r w:rsidR="007A635D">
        <w:t>erforderlichen Prüfungen und Anordnungen könn</w:t>
      </w:r>
      <w:r w:rsidR="00E863B9">
        <w:t>t</w:t>
      </w:r>
      <w:r w:rsidR="007A635D">
        <w:t>en nicht bearbeitet</w:t>
      </w:r>
      <w:r w:rsidR="007A635D" w:rsidRPr="00BF2B67">
        <w:t xml:space="preserve"> </w:t>
      </w:r>
      <w:r w:rsidR="007A635D">
        <w:t>werden. Anfragen aus der Bürgerschaft und den politischen Gremien könn</w:t>
      </w:r>
      <w:r w:rsidR="00E863B9">
        <w:t>t</w:t>
      </w:r>
      <w:r w:rsidR="007A635D">
        <w:t>en nicht geprüft und beantwortet werden</w:t>
      </w:r>
      <w:r w:rsidR="00FD74D0">
        <w:t>.</w:t>
      </w:r>
    </w:p>
    <w:p w:rsidR="00C0684A" w:rsidRDefault="008C1FBF" w:rsidP="00C0684A">
      <w:pPr>
        <w:pStyle w:val="berschrift1"/>
        <w:numPr>
          <w:ilvl w:val="0"/>
          <w:numId w:val="0"/>
        </w:numPr>
        <w:ind w:left="284" w:hanging="284"/>
      </w:pPr>
      <w:r>
        <w:t>4</w:t>
      </w:r>
      <w:r w:rsidR="00C0684A" w:rsidRPr="00FA2D93">
        <w:tab/>
        <w:t>Stellenvermerke</w:t>
      </w:r>
    </w:p>
    <w:p w:rsidR="005737DC" w:rsidRDefault="005737DC" w:rsidP="00AA4E14"/>
    <w:p w:rsidR="00D85980" w:rsidRPr="005737DC" w:rsidRDefault="00822159" w:rsidP="00AA4E14">
      <w:r>
        <w:t>k</w:t>
      </w:r>
      <w:r w:rsidR="00E651AE">
        <w:t>eine</w:t>
      </w:r>
    </w:p>
    <w:sectPr w:rsidR="00D85980" w:rsidRPr="005737DC" w:rsidSect="003972AC">
      <w:headerReference w:type="default" r:id="rId8"/>
      <w:pgSz w:w="11906" w:h="16838"/>
      <w:pgMar w:top="9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F9" w:rsidRDefault="00CB55F9" w:rsidP="003972AC">
      <w:r>
        <w:separator/>
      </w:r>
    </w:p>
  </w:endnote>
  <w:endnote w:type="continuationSeparator" w:id="0">
    <w:p w:rsidR="00CB55F9" w:rsidRDefault="00CB55F9" w:rsidP="0039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F9" w:rsidRDefault="00CB55F9" w:rsidP="003972AC">
      <w:r>
        <w:separator/>
      </w:r>
    </w:p>
  </w:footnote>
  <w:footnote w:type="continuationSeparator" w:id="0">
    <w:p w:rsidR="00CB55F9" w:rsidRDefault="00CB55F9" w:rsidP="0039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972AC" w:rsidRDefault="003972AC" w:rsidP="003972AC">
        <w:pPr>
          <w:pStyle w:val="Kopfzeile"/>
          <w:framePr w:wrap="notBeside" w:vAnchor="text" w:hAnchor="page" w:xAlign="center" w:y="1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 w:rsidR="00CC5624"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 w:rsidR="00CC5624">
          <w:rPr>
            <w:rStyle w:val="Seitenzahl"/>
            <w:rFonts w:eastAsiaTheme="majorEastAsia"/>
          </w:rPr>
          <w:fldChar w:fldCharType="separate"/>
        </w:r>
        <w:r w:rsidR="00427AB4">
          <w:rPr>
            <w:rStyle w:val="Seitenzahl"/>
            <w:rFonts w:eastAsiaTheme="majorEastAsia"/>
            <w:noProof/>
          </w:rPr>
          <w:t>2</w:t>
        </w:r>
        <w:r w:rsidR="00CC5624"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3972AC" w:rsidRDefault="003972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076E0"/>
    <w:multiLevelType w:val="multilevel"/>
    <w:tmpl w:val="8E16882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D759CF"/>
    <w:multiLevelType w:val="hybridMultilevel"/>
    <w:tmpl w:val="7F66D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B55"/>
    <w:multiLevelType w:val="hybridMultilevel"/>
    <w:tmpl w:val="78FA8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1091"/>
    <w:multiLevelType w:val="hybridMultilevel"/>
    <w:tmpl w:val="DD9A1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543"/>
    <w:multiLevelType w:val="hybridMultilevel"/>
    <w:tmpl w:val="A86A65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54D3"/>
    <w:multiLevelType w:val="hybridMultilevel"/>
    <w:tmpl w:val="C14AB964"/>
    <w:lvl w:ilvl="0" w:tplc="31306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A"/>
    <w:rsid w:val="000144EB"/>
    <w:rsid w:val="000309A7"/>
    <w:rsid w:val="000433EC"/>
    <w:rsid w:val="00055387"/>
    <w:rsid w:val="00067F40"/>
    <w:rsid w:val="00070C0D"/>
    <w:rsid w:val="000B5FD7"/>
    <w:rsid w:val="000C0C0E"/>
    <w:rsid w:val="000D4FB9"/>
    <w:rsid w:val="000E67E7"/>
    <w:rsid w:val="00102480"/>
    <w:rsid w:val="00112C6B"/>
    <w:rsid w:val="00117862"/>
    <w:rsid w:val="00123A1D"/>
    <w:rsid w:val="00140363"/>
    <w:rsid w:val="0014275F"/>
    <w:rsid w:val="001539B4"/>
    <w:rsid w:val="00156792"/>
    <w:rsid w:val="00163178"/>
    <w:rsid w:val="00173347"/>
    <w:rsid w:val="001C1618"/>
    <w:rsid w:val="001D5FD1"/>
    <w:rsid w:val="001E10AD"/>
    <w:rsid w:val="001E1892"/>
    <w:rsid w:val="001E1DF5"/>
    <w:rsid w:val="001E6242"/>
    <w:rsid w:val="001F1B64"/>
    <w:rsid w:val="00247079"/>
    <w:rsid w:val="0025697A"/>
    <w:rsid w:val="00256EA1"/>
    <w:rsid w:val="002571FD"/>
    <w:rsid w:val="002815B6"/>
    <w:rsid w:val="00293301"/>
    <w:rsid w:val="00294BBF"/>
    <w:rsid w:val="00297134"/>
    <w:rsid w:val="00297417"/>
    <w:rsid w:val="002A57FD"/>
    <w:rsid w:val="002A686E"/>
    <w:rsid w:val="002D078F"/>
    <w:rsid w:val="002D5745"/>
    <w:rsid w:val="002E23A3"/>
    <w:rsid w:val="002F19F6"/>
    <w:rsid w:val="002F4502"/>
    <w:rsid w:val="003021CC"/>
    <w:rsid w:val="00315116"/>
    <w:rsid w:val="003262D6"/>
    <w:rsid w:val="00332DD1"/>
    <w:rsid w:val="00353CD1"/>
    <w:rsid w:val="003816C0"/>
    <w:rsid w:val="003838FD"/>
    <w:rsid w:val="00393D35"/>
    <w:rsid w:val="0039441B"/>
    <w:rsid w:val="00395203"/>
    <w:rsid w:val="003972AC"/>
    <w:rsid w:val="003A03E3"/>
    <w:rsid w:val="003A2D89"/>
    <w:rsid w:val="003A47A9"/>
    <w:rsid w:val="003F0FE5"/>
    <w:rsid w:val="00401606"/>
    <w:rsid w:val="00427AB4"/>
    <w:rsid w:val="00454FFA"/>
    <w:rsid w:val="00455FF0"/>
    <w:rsid w:val="00463277"/>
    <w:rsid w:val="004634B7"/>
    <w:rsid w:val="00464620"/>
    <w:rsid w:val="0048408D"/>
    <w:rsid w:val="00487077"/>
    <w:rsid w:val="0049335A"/>
    <w:rsid w:val="004B2AF1"/>
    <w:rsid w:val="004B7878"/>
    <w:rsid w:val="004C1D96"/>
    <w:rsid w:val="004D6494"/>
    <w:rsid w:val="004F0B3B"/>
    <w:rsid w:val="004F1A07"/>
    <w:rsid w:val="004F69D8"/>
    <w:rsid w:val="00501F63"/>
    <w:rsid w:val="0050363F"/>
    <w:rsid w:val="00504957"/>
    <w:rsid w:val="00512587"/>
    <w:rsid w:val="00523578"/>
    <w:rsid w:val="005478F4"/>
    <w:rsid w:val="00554067"/>
    <w:rsid w:val="005716A4"/>
    <w:rsid w:val="005737DC"/>
    <w:rsid w:val="00581333"/>
    <w:rsid w:val="005A0787"/>
    <w:rsid w:val="005A7BDB"/>
    <w:rsid w:val="005B1B89"/>
    <w:rsid w:val="005C37F0"/>
    <w:rsid w:val="005C5D5D"/>
    <w:rsid w:val="005E7A83"/>
    <w:rsid w:val="005F780A"/>
    <w:rsid w:val="00602557"/>
    <w:rsid w:val="00603999"/>
    <w:rsid w:val="00607BEC"/>
    <w:rsid w:val="00634435"/>
    <w:rsid w:val="006357F0"/>
    <w:rsid w:val="0063757D"/>
    <w:rsid w:val="00644FCD"/>
    <w:rsid w:val="0065303C"/>
    <w:rsid w:val="00664865"/>
    <w:rsid w:val="00667787"/>
    <w:rsid w:val="00671C66"/>
    <w:rsid w:val="006754D8"/>
    <w:rsid w:val="00676C3B"/>
    <w:rsid w:val="006867E5"/>
    <w:rsid w:val="006A1234"/>
    <w:rsid w:val="006B39F9"/>
    <w:rsid w:val="00717359"/>
    <w:rsid w:val="00744D4E"/>
    <w:rsid w:val="00744E64"/>
    <w:rsid w:val="00762197"/>
    <w:rsid w:val="007665B1"/>
    <w:rsid w:val="00791325"/>
    <w:rsid w:val="007A17E4"/>
    <w:rsid w:val="007A1AFF"/>
    <w:rsid w:val="007A635D"/>
    <w:rsid w:val="007A762D"/>
    <w:rsid w:val="007C08DD"/>
    <w:rsid w:val="007C1A0C"/>
    <w:rsid w:val="007D7EB5"/>
    <w:rsid w:val="007E496F"/>
    <w:rsid w:val="007E4E55"/>
    <w:rsid w:val="007F452F"/>
    <w:rsid w:val="00801795"/>
    <w:rsid w:val="00822159"/>
    <w:rsid w:val="00826D41"/>
    <w:rsid w:val="00852F37"/>
    <w:rsid w:val="00854523"/>
    <w:rsid w:val="00870847"/>
    <w:rsid w:val="008714C2"/>
    <w:rsid w:val="00886B34"/>
    <w:rsid w:val="008A6957"/>
    <w:rsid w:val="008B6ECF"/>
    <w:rsid w:val="008B7356"/>
    <w:rsid w:val="008B7BC4"/>
    <w:rsid w:val="008C1FBF"/>
    <w:rsid w:val="008D019A"/>
    <w:rsid w:val="0090470A"/>
    <w:rsid w:val="00907F9F"/>
    <w:rsid w:val="00924F93"/>
    <w:rsid w:val="00936F67"/>
    <w:rsid w:val="009467B1"/>
    <w:rsid w:val="00946A70"/>
    <w:rsid w:val="009A4847"/>
    <w:rsid w:val="009D314B"/>
    <w:rsid w:val="009F1439"/>
    <w:rsid w:val="009F45EC"/>
    <w:rsid w:val="009F7EE4"/>
    <w:rsid w:val="00A15195"/>
    <w:rsid w:val="00A477DE"/>
    <w:rsid w:val="00A63BCA"/>
    <w:rsid w:val="00A75A88"/>
    <w:rsid w:val="00A91375"/>
    <w:rsid w:val="00A97A60"/>
    <w:rsid w:val="00A97CBF"/>
    <w:rsid w:val="00AA4E14"/>
    <w:rsid w:val="00AA5950"/>
    <w:rsid w:val="00AD214C"/>
    <w:rsid w:val="00AE7836"/>
    <w:rsid w:val="00AF0D4A"/>
    <w:rsid w:val="00AF1D3D"/>
    <w:rsid w:val="00AF6265"/>
    <w:rsid w:val="00AF62FD"/>
    <w:rsid w:val="00B02DCD"/>
    <w:rsid w:val="00B207FE"/>
    <w:rsid w:val="00B215B8"/>
    <w:rsid w:val="00B2695C"/>
    <w:rsid w:val="00B64917"/>
    <w:rsid w:val="00B663B1"/>
    <w:rsid w:val="00B7091D"/>
    <w:rsid w:val="00B817EA"/>
    <w:rsid w:val="00B905AC"/>
    <w:rsid w:val="00BE3372"/>
    <w:rsid w:val="00BE5986"/>
    <w:rsid w:val="00BE7888"/>
    <w:rsid w:val="00BF22A6"/>
    <w:rsid w:val="00BF2B12"/>
    <w:rsid w:val="00BF2B67"/>
    <w:rsid w:val="00C01025"/>
    <w:rsid w:val="00C06027"/>
    <w:rsid w:val="00C0684A"/>
    <w:rsid w:val="00C12AB1"/>
    <w:rsid w:val="00C13962"/>
    <w:rsid w:val="00C21A5D"/>
    <w:rsid w:val="00C2679C"/>
    <w:rsid w:val="00C300B6"/>
    <w:rsid w:val="00C40BE7"/>
    <w:rsid w:val="00C559F4"/>
    <w:rsid w:val="00C62B2C"/>
    <w:rsid w:val="00C74400"/>
    <w:rsid w:val="00C8382B"/>
    <w:rsid w:val="00CA5E43"/>
    <w:rsid w:val="00CB55F9"/>
    <w:rsid w:val="00CC5624"/>
    <w:rsid w:val="00CD0AED"/>
    <w:rsid w:val="00CD2714"/>
    <w:rsid w:val="00D01B80"/>
    <w:rsid w:val="00D04621"/>
    <w:rsid w:val="00D5399C"/>
    <w:rsid w:val="00D631D6"/>
    <w:rsid w:val="00D85980"/>
    <w:rsid w:val="00D94B47"/>
    <w:rsid w:val="00DA489C"/>
    <w:rsid w:val="00DD2335"/>
    <w:rsid w:val="00DE34E5"/>
    <w:rsid w:val="00E04DC7"/>
    <w:rsid w:val="00E21E3D"/>
    <w:rsid w:val="00E3730F"/>
    <w:rsid w:val="00E651AE"/>
    <w:rsid w:val="00E745CD"/>
    <w:rsid w:val="00E80D61"/>
    <w:rsid w:val="00E863B9"/>
    <w:rsid w:val="00EA0891"/>
    <w:rsid w:val="00EA0D83"/>
    <w:rsid w:val="00EC6C97"/>
    <w:rsid w:val="00F013B0"/>
    <w:rsid w:val="00F051B7"/>
    <w:rsid w:val="00F205DA"/>
    <w:rsid w:val="00F24DBF"/>
    <w:rsid w:val="00F35559"/>
    <w:rsid w:val="00F4187E"/>
    <w:rsid w:val="00F43DC5"/>
    <w:rsid w:val="00F4411F"/>
    <w:rsid w:val="00F50047"/>
    <w:rsid w:val="00F714B2"/>
    <w:rsid w:val="00F93A1C"/>
    <w:rsid w:val="00F94592"/>
    <w:rsid w:val="00FA2D93"/>
    <w:rsid w:val="00FD16D4"/>
    <w:rsid w:val="00FD74D0"/>
    <w:rsid w:val="00FE4F92"/>
    <w:rsid w:val="00FF04B9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8886-F3B5-40EB-B933-407050A8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84A"/>
    <w:pPr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0684A"/>
    <w:pPr>
      <w:keepNext/>
      <w:numPr>
        <w:numId w:val="2"/>
      </w:numPr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684A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7913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892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97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2AC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397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72AC"/>
    <w:rPr>
      <w:rFonts w:ascii="Arial" w:eastAsia="Times New Roman" w:hAnsi="Arial" w:cs="Arial"/>
      <w:sz w:val="24"/>
      <w:szCs w:val="20"/>
      <w:lang w:eastAsia="ar-SA"/>
    </w:rPr>
  </w:style>
  <w:style w:type="character" w:styleId="Seitenzahl">
    <w:name w:val="page number"/>
    <w:basedOn w:val="Absatz-Standardschriftart"/>
    <w:rsid w:val="0039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47D99-32B7-4487-A040-80A4F5E1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FDCF4A5E.dotm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U32h028</dc:creator>
  <cp:lastModifiedBy>U103007</cp:lastModifiedBy>
  <cp:revision>26</cp:revision>
  <cp:lastPrinted>2017-09-14T16:13:00Z</cp:lastPrinted>
  <dcterms:created xsi:type="dcterms:W3CDTF">2017-08-08T11:58:00Z</dcterms:created>
  <dcterms:modified xsi:type="dcterms:W3CDTF">2017-09-14T16:13:00Z</dcterms:modified>
</cp:coreProperties>
</file>